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43155" w14:textId="77777777" w:rsidR="001276BD" w:rsidRPr="00A658F9" w:rsidRDefault="001276BD" w:rsidP="00A658F9">
      <w:pPr>
        <w:spacing w:line="360" w:lineRule="auto"/>
        <w:ind w:firstLine="709"/>
        <w:rPr>
          <w:rFonts w:cs="Arial"/>
          <w:szCs w:val="24"/>
        </w:rPr>
      </w:pPr>
      <w:bookmarkStart w:id="0" w:name="_Toc93473123"/>
      <w:bookmarkStart w:id="1" w:name="_Toc96408761"/>
      <w:bookmarkStart w:id="2" w:name="_Toc96409028"/>
      <w:bookmarkStart w:id="3" w:name="_Toc84138599"/>
    </w:p>
    <w:p w14:paraId="3309A6D2" w14:textId="77777777" w:rsidR="001276BD" w:rsidRPr="00A658F9" w:rsidRDefault="001276BD" w:rsidP="00A658F9">
      <w:pPr>
        <w:spacing w:line="360" w:lineRule="auto"/>
        <w:ind w:firstLine="709"/>
        <w:rPr>
          <w:rFonts w:cs="Arial"/>
          <w:szCs w:val="24"/>
        </w:rPr>
      </w:pPr>
    </w:p>
    <w:p w14:paraId="1A286749" w14:textId="77777777" w:rsidR="001276BD" w:rsidRPr="00A658F9" w:rsidRDefault="001276BD" w:rsidP="00A658F9">
      <w:pPr>
        <w:spacing w:line="360" w:lineRule="auto"/>
        <w:ind w:firstLine="709"/>
        <w:rPr>
          <w:rFonts w:cs="Arial"/>
          <w:szCs w:val="24"/>
        </w:rPr>
      </w:pPr>
    </w:p>
    <w:bookmarkEnd w:id="0"/>
    <w:bookmarkEnd w:id="1"/>
    <w:bookmarkEnd w:id="2"/>
    <w:bookmarkEnd w:id="3"/>
    <w:p w14:paraId="0571185F" w14:textId="77777777" w:rsidR="00A658F9" w:rsidRPr="00A658F9" w:rsidRDefault="00A658F9" w:rsidP="00A658F9">
      <w:pPr>
        <w:spacing w:line="360" w:lineRule="auto"/>
        <w:jc w:val="center"/>
        <w:rPr>
          <w:rFonts w:cs="Arial"/>
          <w:b/>
          <w:bCs/>
          <w:szCs w:val="24"/>
        </w:rPr>
      </w:pPr>
      <w:r w:rsidRPr="00A658F9">
        <w:rPr>
          <w:rFonts w:cs="Arial"/>
          <w:b/>
          <w:bCs/>
          <w:szCs w:val="24"/>
        </w:rPr>
        <w:t>Educação e tecnologia: entre a inovação pedagógica e os desafios da equidade digital</w:t>
      </w:r>
    </w:p>
    <w:p w14:paraId="5EC0A0DF" w14:textId="77777777" w:rsidR="00A658F9" w:rsidRPr="00A658F9" w:rsidRDefault="00A658F9" w:rsidP="00A658F9">
      <w:pPr>
        <w:spacing w:line="360" w:lineRule="auto"/>
        <w:ind w:firstLine="709"/>
        <w:jc w:val="right"/>
        <w:rPr>
          <w:rFonts w:cs="Arial"/>
          <w:szCs w:val="24"/>
        </w:rPr>
      </w:pPr>
      <w:r w:rsidRPr="00A658F9">
        <w:rPr>
          <w:rFonts w:cs="Arial"/>
          <w:szCs w:val="24"/>
        </w:rPr>
        <w:t>Adriana Pereira de Souza</w:t>
      </w:r>
      <w:r w:rsidRPr="00A658F9">
        <w:rPr>
          <w:rStyle w:val="Refdenotaderodap"/>
          <w:rFonts w:cs="Arial"/>
          <w:szCs w:val="24"/>
        </w:rPr>
        <w:footnoteReference w:id="1"/>
      </w:r>
    </w:p>
    <w:p w14:paraId="1EE869DD" w14:textId="77777777" w:rsidR="00A658F9" w:rsidRPr="00A658F9" w:rsidRDefault="00A658F9" w:rsidP="00A658F9">
      <w:pPr>
        <w:spacing w:line="360" w:lineRule="auto"/>
        <w:ind w:firstLine="709"/>
        <w:jc w:val="right"/>
        <w:rPr>
          <w:rFonts w:cs="Arial"/>
          <w:szCs w:val="24"/>
        </w:rPr>
      </w:pPr>
      <w:r w:rsidRPr="00A658F9">
        <w:rPr>
          <w:rFonts w:cs="Arial"/>
          <w:szCs w:val="24"/>
        </w:rPr>
        <w:t>Claudia Maria Pereira de Souza</w:t>
      </w:r>
      <w:r w:rsidRPr="00A658F9">
        <w:rPr>
          <w:rStyle w:val="Refdenotaderodap"/>
          <w:rFonts w:cs="Arial"/>
          <w:szCs w:val="24"/>
        </w:rPr>
        <w:footnoteReference w:id="2"/>
      </w:r>
    </w:p>
    <w:p w14:paraId="7C0A8385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</w:p>
    <w:p w14:paraId="3A648FB6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</w:p>
    <w:p w14:paraId="3EE9FF7A" w14:textId="77777777" w:rsidR="00A658F9" w:rsidRPr="00A658F9" w:rsidRDefault="00A658F9" w:rsidP="00A658F9">
      <w:pPr>
        <w:spacing w:line="360" w:lineRule="auto"/>
        <w:jc w:val="center"/>
        <w:rPr>
          <w:rFonts w:cs="Arial"/>
          <w:b/>
          <w:bCs/>
          <w:szCs w:val="24"/>
        </w:rPr>
      </w:pPr>
      <w:r w:rsidRPr="00A658F9">
        <w:rPr>
          <w:rFonts w:cs="Arial"/>
          <w:b/>
          <w:bCs/>
          <w:szCs w:val="24"/>
        </w:rPr>
        <w:t>RESUMO</w:t>
      </w:r>
    </w:p>
    <w:p w14:paraId="31FAB44D" w14:textId="77777777" w:rsidR="00A658F9" w:rsidRPr="00A658F9" w:rsidRDefault="00A658F9" w:rsidP="00A658F9">
      <w:pPr>
        <w:rPr>
          <w:rFonts w:cs="Arial"/>
          <w:sz w:val="20"/>
        </w:rPr>
      </w:pPr>
      <w:r w:rsidRPr="00A658F9">
        <w:rPr>
          <w:rFonts w:cs="Arial"/>
          <w:sz w:val="20"/>
        </w:rPr>
        <w:t>O presente artigo tem como objetivo analisar criticamente a relação entre educação e tecnologia no contexto contemporâneo, investigando de que maneira os recursos digitais têm reconfigurado práticas pedagógicas, redefinido o papel docente e impactado a democratização do acesso ao conhecimento. A problemática central consiste em compreender se a incorporação de tecnologias educacionais contribui efetivamente para a melhoria da aprendizagem ou se tende a aprofundar desigualdades estruturais já existentes. A metodologia adotada fundamenta-se em pesquisa bibliográfica de abordagem qualitativa, com análise interpretativa de obras clássicas e contemporâneas da área educacional e dos estudos sobre cultura digital. Quanto ao tipo de pesquisa, caracteriza-se como exploratória e descritiva, pois busca examinar fenômenos emergentes e sistematizar reflexões teóricas sobre os impactos da transformação tecnológica na educação formal. O referencial teórico apoia-se em autores como Pierre Lévy (1999), Manuel Castells (2003), Paulo Freire (1996) e Moran (2015), cujas contribuições permitem compreender a tecnologia como elemento estruturante das dinâmicas sociais e educativas. Os resultados indicam que a integração digital, quando orientada por intencionalidade pedagógica e princípios de equidade, potencializa metodologias ativas, favorece a autonomia discente e amplia possibilidades de aprendizagem colaborativa. Contudo, evidenciam-se desafios relacionados à exclusão digital, à insuficiência de formação docente e à fragilidade de políticas públicas consistentes. Conclui-se que a articulação crítica entre inovação tecnológica e compromisso social constitui condição indispensável para a construção de uma educação democrática e transformadora.</w:t>
      </w:r>
    </w:p>
    <w:p w14:paraId="79E3C4A9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</w:p>
    <w:p w14:paraId="31FC8DAB" w14:textId="77777777" w:rsidR="00A658F9" w:rsidRPr="00A658F9" w:rsidRDefault="00A658F9" w:rsidP="00A658F9">
      <w:pPr>
        <w:spacing w:line="360" w:lineRule="auto"/>
        <w:rPr>
          <w:rFonts w:cs="Arial"/>
          <w:szCs w:val="24"/>
        </w:rPr>
      </w:pPr>
      <w:r w:rsidRPr="00A658F9">
        <w:rPr>
          <w:rFonts w:cs="Arial"/>
          <w:b/>
          <w:bCs/>
          <w:szCs w:val="24"/>
        </w:rPr>
        <w:t>Palavras-chave:</w:t>
      </w:r>
      <w:r w:rsidRPr="00A658F9">
        <w:rPr>
          <w:rFonts w:cs="Arial"/>
          <w:szCs w:val="24"/>
        </w:rPr>
        <w:t xml:space="preserve"> Educação. Tecnologia. Cultura digital. Inovação pedagógica. Inclusão.</w:t>
      </w:r>
    </w:p>
    <w:p w14:paraId="40D39FC7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</w:p>
    <w:p w14:paraId="11A57A26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</w:p>
    <w:p w14:paraId="144BCA04" w14:textId="77777777" w:rsidR="00A658F9" w:rsidRPr="00A658F9" w:rsidRDefault="00A658F9" w:rsidP="00A658F9">
      <w:pPr>
        <w:spacing w:line="360" w:lineRule="auto"/>
        <w:rPr>
          <w:rFonts w:cs="Arial"/>
          <w:b/>
          <w:bCs/>
          <w:szCs w:val="24"/>
        </w:rPr>
      </w:pPr>
      <w:r w:rsidRPr="00A658F9">
        <w:rPr>
          <w:rFonts w:cs="Arial"/>
          <w:b/>
          <w:bCs/>
          <w:szCs w:val="24"/>
        </w:rPr>
        <w:t>1.INTRODUÇÃO</w:t>
      </w:r>
    </w:p>
    <w:p w14:paraId="3A91B67F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</w:p>
    <w:p w14:paraId="03130513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 xml:space="preserve">A sociedade contemporânea encontra-se profundamente marcada pela expansão das tecnologias digitais, que transformaram as formas de </w:t>
      </w:r>
      <w:r w:rsidRPr="00A658F9">
        <w:rPr>
          <w:rFonts w:cs="Arial"/>
          <w:szCs w:val="24"/>
        </w:rPr>
        <w:lastRenderedPageBreak/>
        <w:t>comunicação, produção de conhecimento e organização social. A escola, inserida nesse contexto, passou a enfrentar o desafio de dialogar com uma geração que já nasce imersa em ambientes virtuais e linguagens multimodais. A educação, portanto, não pode permanecer restrita a modelos pedagógicos concebidos para uma realidade analógica, sob pena de distanciar-se das demandas culturais e cognitivas do século XXI.</w:t>
      </w:r>
    </w:p>
    <w:p w14:paraId="0BB662B4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>A emergência da cultura digital não representa apenas uma inovação instrumental, mas uma mudança paradigmática nas formas de pensar, interagir e aprender. Pierre Lévy (1999) argumenta que o ciberespaço inaugura uma nova ecologia cognitiva, na qual o conhecimento é construído de maneira coletiva e descentralizada. Essa perspectiva amplia a compreensão do processo educativo, deslocando-o de uma lógica vertical para uma dinâmica colaborativa.</w:t>
      </w:r>
    </w:p>
    <w:p w14:paraId="6EF53ABA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>Entretanto, a incorporação de recursos tecnológicos no ambiente escolar não pode ser compreendida como solução automática para os problemas educacionais históricos. A simples presença de equipamentos não assegura aprendizagem significativa. Como adverte Paulo Freire (1996), “ensinar não é transferir conhecimento, mas criar possibilidades para a sua produção”, o que exige intencionalidade pedagógica e reflexão crítica.</w:t>
      </w:r>
    </w:p>
    <w:p w14:paraId="50DAF044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>A expansão da internet e das plataformas digitais intensificou o acesso à informação, mas também produziu novos desafios relacionados à curadoria de conteúdos e à confiabilidade das fontes. Nesse sentido, a educação assume papel estratégico na formação de sujeitos capazes de analisar criticamente o fluxo informacional.</w:t>
      </w:r>
    </w:p>
    <w:p w14:paraId="7A40313F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>Manuel Castells (2003) destaca que a sociedade em rede reorganiza estruturas econômicas e culturais, alterando inclusive as dinâmicas de poder. A escola, enquanto instituição social, precisa compreender tais transformações para não se tornar obsoleta diante das novas configurações comunicacionais.</w:t>
      </w:r>
    </w:p>
    <w:p w14:paraId="0BAE4835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 xml:space="preserve">A pandemia de COVID-19 evidenciou a centralidade das tecnologias na continuidade do ensino, revelando tanto potencialidades quanto fragilidades estruturais. O ensino remoto emergencial expôs desigualdades de acesso e evidenciou lacunas na formação docente para o uso pedagógico das </w:t>
      </w:r>
      <w:r w:rsidRPr="00A658F9">
        <w:rPr>
          <w:rFonts w:cs="Arial"/>
          <w:szCs w:val="24"/>
        </w:rPr>
        <w:lastRenderedPageBreak/>
        <w:t>ferramentas digitais.</w:t>
      </w:r>
    </w:p>
    <w:p w14:paraId="3814D8B8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>Diante desse cenário, torna-se imprescindível discutir a relação entre inovação tecnológica e justiça social, evitando abordagens deterministas que tratam a tecnologia como solução neutra e universal. A educação precisa incorporar recursos digitais de maneira crítica, considerando contextos socioculturais diversos.</w:t>
      </w:r>
    </w:p>
    <w:p w14:paraId="12CADEEB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>Além disso, a transformação tecnológica redefine competências necessárias à formação cidadã. O domínio técnico deve estar articulado à ética digital, à responsabilidade social e à capacidade de diálogo intercultural.</w:t>
      </w:r>
    </w:p>
    <w:p w14:paraId="0BD68935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>A integração entre educação e tecnologia também impacta o currículo, exigindo reorganização de conteúdos e metodologias. A interdisciplinaridade torna-se elemento fundamental para responder às complexidades contemporâneas.</w:t>
      </w:r>
    </w:p>
    <w:p w14:paraId="405A73B2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>Outro aspecto relevante refere-se ao papel do professor, cuja função deixa de ser exclusivamente transmissiva e assume caráter mediador e orientador. Tal mudança implica investimento em formação continuada e valorização profissional.</w:t>
      </w:r>
    </w:p>
    <w:p w14:paraId="69154B67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>Assim, a discussão proposta neste artigo busca analisar as múltiplas dimensões da relação entre educação e tecnologia, compreendendo seus avanços, limites e desafios estruturais.</w:t>
      </w:r>
    </w:p>
    <w:p w14:paraId="70FAA327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>Partindo de abordagem crítica e fundamentação teórica consistente, pretende-se contribuir para reflexões que ultrapassem discursos meramente entusiásticos ou excessivamente pessimistas.</w:t>
      </w:r>
    </w:p>
    <w:p w14:paraId="5A520F38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>A educação, enquanto prática social transformadora, deve apropriar-se das tecnologias de forma consciente, promovendo emancipação intelectual e inclusão democrática.</w:t>
      </w:r>
    </w:p>
    <w:p w14:paraId="191EC185" w14:textId="77777777" w:rsidR="00A658F9" w:rsidRDefault="00A658F9" w:rsidP="00A658F9">
      <w:pPr>
        <w:spacing w:line="360" w:lineRule="auto"/>
        <w:ind w:firstLine="709"/>
        <w:rPr>
          <w:rFonts w:cs="Arial"/>
          <w:szCs w:val="24"/>
        </w:rPr>
      </w:pPr>
    </w:p>
    <w:p w14:paraId="0DEBFDE9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</w:p>
    <w:p w14:paraId="4BF2CD8D" w14:textId="77777777" w:rsidR="00A658F9" w:rsidRPr="00A658F9" w:rsidRDefault="00A658F9" w:rsidP="00A658F9">
      <w:pPr>
        <w:spacing w:line="360" w:lineRule="auto"/>
        <w:rPr>
          <w:rFonts w:cs="Arial"/>
          <w:b/>
          <w:bCs/>
          <w:szCs w:val="24"/>
        </w:rPr>
      </w:pPr>
      <w:r w:rsidRPr="00A658F9">
        <w:rPr>
          <w:rFonts w:cs="Arial"/>
          <w:b/>
          <w:bCs/>
          <w:szCs w:val="24"/>
        </w:rPr>
        <w:t>2 TECNOLOGIA E RECONFIGURAÇÃO DAS PRÁTICAS PEDAGÓGICAS</w:t>
      </w:r>
    </w:p>
    <w:p w14:paraId="3CC489F1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</w:p>
    <w:p w14:paraId="5AECB5B8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 xml:space="preserve">A incorporação das tecnologias digitais no ambiente escolar não representa mera substituição de instrumentos tradicionais por dispositivos </w:t>
      </w:r>
      <w:r w:rsidRPr="00A658F9">
        <w:rPr>
          <w:rFonts w:cs="Arial"/>
          <w:szCs w:val="24"/>
        </w:rPr>
        <w:lastRenderedPageBreak/>
        <w:t xml:space="preserve">eletrônicos, mas configura uma reorganização estrutural das práticas pedagógicas e da própria concepção de conhecimento. A lógica transmissiva, baseada na centralidade do professor como fonte exclusiva de saber, passa a ser tensionada por um modelo interativo e colaborativo, no qual a informação circula de maneira descentralizada e dinâmica. </w:t>
      </w:r>
    </w:p>
    <w:p w14:paraId="46044583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>Nesse contexto, Pierre Lévy (1999) argumenta que a inteligência coletiva emerge da interconexão entre sujeitos, deslocando o conhecimento para uma dimensão compartilhada e continuamente atualizada. Tal perspectiva exige da escola não apenas adaptação técnica, mas revisão epistemológica profunda.</w:t>
      </w:r>
    </w:p>
    <w:p w14:paraId="2CEB7B1F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>A presença de recursos digitais amplia as linguagens disponíveis no processo formativo, permitindo que conteúdos sejam explorados por meio de imagens, simulações, hipertextos e ambientes interativos. Essa multiplicidade semiótica favorece diferentes estilos cognitivos e rompe com a homogeneização didática característica do modelo tradicional. Contudo, a diversidade de ferramentas não garante qualidade pedagógica se não houver clareza quanto aos objetivos educacionais que orientam sua utilização.</w:t>
      </w:r>
    </w:p>
    <w:p w14:paraId="60DF2781" w14:textId="7879FB35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 xml:space="preserve">A reorganização metodológica implica compreender que aprender, na cultura digital, envolve navegar, selecionar, relacionar e produzir informações em redes complexas. Manuel Castells (2003) destaca que a sociedade contemporânea </w:t>
      </w:r>
      <w:r w:rsidRPr="00A658F9">
        <w:rPr>
          <w:rFonts w:cs="Arial"/>
          <w:szCs w:val="24"/>
        </w:rPr>
        <w:t>se estrutura</w:t>
      </w:r>
      <w:r w:rsidRPr="00A658F9">
        <w:rPr>
          <w:rFonts w:cs="Arial"/>
          <w:szCs w:val="24"/>
        </w:rPr>
        <w:t xml:space="preserve"> em fluxos informacionais, nos quais a capacidade de conexão torna-se elemento central de participação social. Assim, a escola precisa formar sujeitos capazes de atuar criticamente nesses fluxos, desenvolvendo competências analíticas e reflexivas.</w:t>
      </w:r>
    </w:p>
    <w:p w14:paraId="6BFB787F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>A mediação docente assume papel estratégico nesse processo, pois a abundância informacional pode gerar dispersão e superficialidade. A orientação pedagógica é fundamental para transformar dados em conhecimento significativo. Paulo Freire (1996) enfatiza que o ensino exige problematização da realidade, o que implica superar o consumo passivo de conteúdos digitais e promover reflexão crítica.</w:t>
      </w:r>
    </w:p>
    <w:p w14:paraId="294A8AE9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 xml:space="preserve">A tecnologia, quando articulada a metodologias ativas, favorece protagonismo discente e construção autônoma do saber. Estratégias como aprendizagem baseada em projetos e resolução de problemas encontram nas </w:t>
      </w:r>
      <w:r w:rsidRPr="00A658F9">
        <w:rPr>
          <w:rFonts w:cs="Arial"/>
          <w:szCs w:val="24"/>
        </w:rPr>
        <w:lastRenderedPageBreak/>
        <w:t>plataformas digitais um espaço fértil para pesquisa colaborativa e produção autoral. Entretanto, tais práticas demandam planejamento estruturado e avaliação coerente com a complexidade das atividades propostas.</w:t>
      </w:r>
    </w:p>
    <w:p w14:paraId="2BBFE057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>Outro aspecto relevante refere-se à possibilidade de personalização do ensino. Sistemas digitais permitem acompanhar trajetórias individuais e identificar dificuldades específicas, contribuindo para intervenções pedagógicas mais precisas. Moran (2015) observa que a tecnologia amplia oportunidades de adaptação curricular, respeitando ritmos distintos de aprendizagem.</w:t>
      </w:r>
    </w:p>
    <w:p w14:paraId="7B0E3F52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>Entretanto, é necessário evitar a ilusão de neutralidade tecnológica. Toda ferramenta carrega intencionalidades implícitas e reflete interesses econômicos e culturais. A adoção acrítica de plataformas pode submeter a educação a lógicas mercadológicas incompatíveis com sua função social emancipatória.</w:t>
      </w:r>
    </w:p>
    <w:p w14:paraId="6CA02532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>Além disso, a integração tecnológica exige reconfiguração dos espaços físicos e simbólicos da escola. A sala de aula deixa de ser ambiente fechado e passa a dialogar com redes externas de conhecimento, ampliando horizontes formativos e possibilitando intercâmbios interculturais.</w:t>
      </w:r>
    </w:p>
    <w:p w14:paraId="56BFEB78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>A produção digital também fortalece competências comunicativas e criativas, incentivando autoria e responsabilidade na circulação de informações. Contudo, essa produção precisa ser orientada por princípios éticos que assegurem respeito, veracidade e compromisso social.</w:t>
      </w:r>
    </w:p>
    <w:p w14:paraId="1BB9419F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>A avaliação das aprendizagens, nesse cenário, requer critérios que contemplem processos colaborativos e habilidades complexas, superando modelos exclusivamente conteudistas. A tecnologia pode auxiliar na sistematização de dados avaliativos, mas não substitui o julgamento pedagógico fundamentado.</w:t>
      </w:r>
    </w:p>
    <w:p w14:paraId="2D17413C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>A formação integral do estudante depende, portanto, da articulação entre inovação metodológica, reflexão crítica e compromisso ético. A tecnologia amplia possibilidades, mas sua eficácia está condicionada à intencionalidade educacional que a orienta.</w:t>
      </w:r>
    </w:p>
    <w:p w14:paraId="702E77C8" w14:textId="77777777" w:rsidR="00A658F9" w:rsidRPr="00A658F9" w:rsidRDefault="00A658F9" w:rsidP="00A658F9">
      <w:pPr>
        <w:tabs>
          <w:tab w:val="left" w:pos="709"/>
        </w:tabs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 xml:space="preserve">Assim, a reconfiguração das práticas pedagógicas exige equilíbrio entre tradição e inovação, reconhecendo que o avanço tecnológico somente se torna </w:t>
      </w:r>
      <w:r w:rsidRPr="00A658F9">
        <w:rPr>
          <w:rFonts w:cs="Arial"/>
          <w:szCs w:val="24"/>
        </w:rPr>
        <w:lastRenderedPageBreak/>
        <w:t>significativo quando vinculado a princípios humanizadores e emancipatórios.</w:t>
      </w:r>
    </w:p>
    <w:p w14:paraId="41B61D75" w14:textId="77777777" w:rsidR="00A658F9" w:rsidRDefault="00A658F9" w:rsidP="00A658F9">
      <w:pPr>
        <w:spacing w:line="360" w:lineRule="auto"/>
        <w:ind w:firstLine="709"/>
        <w:rPr>
          <w:rFonts w:cs="Arial"/>
          <w:szCs w:val="24"/>
        </w:rPr>
      </w:pPr>
    </w:p>
    <w:p w14:paraId="752561D2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</w:p>
    <w:p w14:paraId="0294D744" w14:textId="77777777" w:rsidR="00A658F9" w:rsidRPr="00A658F9" w:rsidRDefault="00A658F9" w:rsidP="00A658F9">
      <w:pPr>
        <w:spacing w:line="360" w:lineRule="auto"/>
        <w:rPr>
          <w:rFonts w:cs="Arial"/>
          <w:b/>
          <w:bCs/>
          <w:szCs w:val="24"/>
        </w:rPr>
      </w:pPr>
      <w:r w:rsidRPr="00A658F9">
        <w:rPr>
          <w:rFonts w:cs="Arial"/>
          <w:b/>
          <w:bCs/>
          <w:szCs w:val="24"/>
        </w:rPr>
        <w:t>3 INCLUSÃO DIGITAL E EQUIDADE EDUCACIONAL</w:t>
      </w:r>
    </w:p>
    <w:p w14:paraId="2313034D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</w:p>
    <w:p w14:paraId="2B727246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 xml:space="preserve">A discussão acerca da integração tecnológica na educação não pode dissociar-se da problemática da equidade social, uma vez que o acesso desigual às ferramentas digitais compromete a democratização do conhecimento. A sociedade em rede, conforme Castells (2003), estrutura-se a partir da capacidade de conexão, o que significa que aqueles excluídos dos fluxos digitais </w:t>
      </w:r>
      <w:proofErr w:type="gramStart"/>
      <w:r w:rsidRPr="00A658F9">
        <w:rPr>
          <w:rFonts w:cs="Arial"/>
          <w:szCs w:val="24"/>
        </w:rPr>
        <w:t>encontram-se</w:t>
      </w:r>
      <w:proofErr w:type="gramEnd"/>
      <w:r w:rsidRPr="00A658F9">
        <w:rPr>
          <w:rFonts w:cs="Arial"/>
          <w:szCs w:val="24"/>
        </w:rPr>
        <w:t xml:space="preserve"> em posição de vulnerabilidade informacional e econômica.</w:t>
      </w:r>
    </w:p>
    <w:p w14:paraId="6096B4FB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>A desigualdade tecnológica manifesta-se tanto na ausência de infraestrutura adequada quanto na limitação de competências para uso crítico das ferramentas disponíveis. A mera disponibilização de dispositivos não assegura inclusão efetiva, pois é necessário desenvolver habilidades de análise, seleção e produção responsável de conteúdos digitais.</w:t>
      </w:r>
    </w:p>
    <w:p w14:paraId="10A9DAF3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>A inclusão digital deve ser compreendida como política pública estruturante, capaz de reduzir disparidades regionais e socioeconômicas. Sem investimentos consistentes, a inovação pedagógica tende a beneficiar apenas contextos privilegiados, aprofundando distâncias educacionais históricas.</w:t>
      </w:r>
    </w:p>
    <w:p w14:paraId="5F4166FB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>Freire (1996) sustenta que a educação deve promover conscientização e emancipação, o que implica formar sujeitos capazes de compreender e transformar a realidade. No ambiente digital, essa conscientização envolve reconhecer mecanismos de manipulação algorítmica, discursos polarizados e desinformação.</w:t>
      </w:r>
    </w:p>
    <w:p w14:paraId="6B1888B1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>Além disso, a equidade requer formação continuada para educadores, garantindo que todos tenham condições de integrar recursos digitais com segurança e criatividade. A ausência de preparo adequado pode gerar insegurança profissional e resistência à inovação.</w:t>
      </w:r>
    </w:p>
    <w:p w14:paraId="2740E284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 xml:space="preserve">A cultura digital também exige reflexão ética acerca da privacidade, do uso de dados e da exposição em ambientes virtuais. A escola desempenha </w:t>
      </w:r>
      <w:r w:rsidRPr="00A658F9">
        <w:rPr>
          <w:rFonts w:cs="Arial"/>
          <w:szCs w:val="24"/>
        </w:rPr>
        <w:lastRenderedPageBreak/>
        <w:t>papel fundamental na formação de cidadãos conscientes de seus direitos e responsabilidades no espaço digital.</w:t>
      </w:r>
    </w:p>
    <w:p w14:paraId="7F3EB14C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>Outro aspecto relevante refere-se à acessibilidade para estudantes com deficiência. Tecnologias assistivas ampliam possibilidades de participação plena, desde que haja investimento em adaptações e suporte técnico adequado.</w:t>
      </w:r>
    </w:p>
    <w:p w14:paraId="2324BE87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>A colaboração entre instituições públicas, comunidade e iniciativa privada pode fortalecer estratégias inclusivas, desde que orientada por princípios de justiça social e transparência.</w:t>
      </w:r>
    </w:p>
    <w:p w14:paraId="53ADF5B7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>A equidade tecnológica não se limita ao acesso físico, mas envolve pertencimento simbólico ao universo digital. Sentir-se capaz de produzir e participar ativamente das redes constitui dimensão essencial da inclusão.</w:t>
      </w:r>
    </w:p>
    <w:p w14:paraId="53B861EB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>A formação crítica protege estudantes contra práticas de consumo acrítico e exposição indevida, promovendo autonomia intelectual.</w:t>
      </w:r>
    </w:p>
    <w:p w14:paraId="6391588C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>Assim, a democratização do conhecimento digital depende de políticas integradas que articulem infraestrutura, formação e ética.</w:t>
      </w:r>
    </w:p>
    <w:p w14:paraId="59FEED71" w14:textId="77777777" w:rsidR="00A658F9" w:rsidRPr="00A658F9" w:rsidRDefault="00A658F9" w:rsidP="00A658F9">
      <w:pPr>
        <w:spacing w:line="360" w:lineRule="auto"/>
        <w:rPr>
          <w:rFonts w:cs="Arial"/>
          <w:szCs w:val="24"/>
        </w:rPr>
      </w:pPr>
      <w:r w:rsidRPr="00A658F9">
        <w:rPr>
          <w:rFonts w:cs="Arial"/>
          <w:szCs w:val="24"/>
        </w:rPr>
        <w:t>A inclusão digital, portanto, não é apenas questão técnica, mas compromisso político com a construção de uma sociedade mais justa e participativa.</w:t>
      </w:r>
    </w:p>
    <w:p w14:paraId="23E7E830" w14:textId="77777777" w:rsidR="00A658F9" w:rsidRDefault="00A658F9" w:rsidP="00A658F9">
      <w:pPr>
        <w:spacing w:line="360" w:lineRule="auto"/>
        <w:ind w:firstLine="709"/>
        <w:rPr>
          <w:rFonts w:cs="Arial"/>
          <w:szCs w:val="24"/>
        </w:rPr>
      </w:pPr>
    </w:p>
    <w:p w14:paraId="2E73F65D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</w:p>
    <w:p w14:paraId="12C32EA4" w14:textId="77777777" w:rsidR="00A658F9" w:rsidRPr="00A658F9" w:rsidRDefault="00A658F9" w:rsidP="00A658F9">
      <w:pPr>
        <w:spacing w:line="360" w:lineRule="auto"/>
        <w:rPr>
          <w:rFonts w:cs="Arial"/>
          <w:b/>
          <w:bCs/>
          <w:szCs w:val="24"/>
        </w:rPr>
      </w:pPr>
      <w:r w:rsidRPr="00A658F9">
        <w:rPr>
          <w:rFonts w:cs="Arial"/>
          <w:b/>
          <w:bCs/>
          <w:szCs w:val="24"/>
        </w:rPr>
        <w:t>4 FORMAÇÃO DOCENTE E TRANSFORMAÇÃO DA IDENTIDADE PROFISSIONAL</w:t>
      </w:r>
    </w:p>
    <w:p w14:paraId="64E0FBB4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</w:p>
    <w:p w14:paraId="26251616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>A presença crescente das tecnologias no ambiente educacional redefine a identidade profissional do docente, exigindo competências que ultrapassam o domínio do conteúdo disciplinar. O professor contemporâneo precisa articular conhecimento pedagógico, domínio técnico e sensibilidade ética para orientar processos formativos em contextos digitais complexos.</w:t>
      </w:r>
    </w:p>
    <w:p w14:paraId="77CD20D5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 xml:space="preserve">Moran (2015) afirma que o educador assume função de mediador e curador de informações, selecionando recursos pertinentes e organizando experiências significativas de aprendizagem. Essa mediação exige capacidade crítica para avaliar a qualidade e a relevância dos conteúdos disponíveis em </w:t>
      </w:r>
      <w:r w:rsidRPr="00A658F9">
        <w:rPr>
          <w:rFonts w:cs="Arial"/>
          <w:szCs w:val="24"/>
        </w:rPr>
        <w:lastRenderedPageBreak/>
        <w:t>rede.</w:t>
      </w:r>
    </w:p>
    <w:p w14:paraId="1371793A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 xml:space="preserve">A formação inicial, muitas v </w:t>
      </w:r>
      <w:proofErr w:type="spellStart"/>
      <w:r w:rsidRPr="00A658F9">
        <w:rPr>
          <w:rFonts w:cs="Arial"/>
          <w:szCs w:val="24"/>
        </w:rPr>
        <w:t>ezes</w:t>
      </w:r>
      <w:proofErr w:type="spellEnd"/>
      <w:r w:rsidRPr="00A658F9">
        <w:rPr>
          <w:rFonts w:cs="Arial"/>
          <w:szCs w:val="24"/>
        </w:rPr>
        <w:t xml:space="preserve"> estruturada em moldes tradicionais, não contempla plenamente as demandas da cultura digital. Torna-se imprescindível investir em programas de capacitação continuada que promovam atualização constante e troca de experiências entre profissionais.</w:t>
      </w:r>
    </w:p>
    <w:p w14:paraId="034464A4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>Freire (1996) enfatiza que ensinar requer abertura ao novo e disposição para aprender continuamente. Tal postura torna-se ainda mais relevante diante da rapidez das transformações tecnológicas.</w:t>
      </w:r>
    </w:p>
    <w:p w14:paraId="71D58E63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>A resistência à inovação frequentemente decorre de insegurança diante de ferramentas desconhecidas. A valorização profissional e o suporte institucional são fundamentais para superar tais obstáculos.</w:t>
      </w:r>
    </w:p>
    <w:p w14:paraId="28C46F9E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>A colaboração entre docentes favorece construção coletiva de estratégias pedagógicas e fortalece sentimento de pertencimento a uma comunidade de aprendizagem.</w:t>
      </w:r>
    </w:p>
    <w:p w14:paraId="12FAD05A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>A integração tecnológica não elimina a centralidade do professor, mas redefine sua atuação como orientador crítico e facilitador de processos investigativos.</w:t>
      </w:r>
    </w:p>
    <w:p w14:paraId="3B17B8E7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>Além disso, a reflexão ética deve orientar o uso das tecnologias, prevenindo práticas excludentes ou desumanizadoras.</w:t>
      </w:r>
    </w:p>
    <w:p w14:paraId="181D5634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>A autonomia docente precisa ser preservada diante de pressões mercadológicas que buscam padronizar plataformas e metodologias.</w:t>
      </w:r>
    </w:p>
    <w:p w14:paraId="3880CC07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>O equilíbrio entre tradição pedagógica e inovação tecnológica constitui desafio permanente. A construção de identidade profissional sólida depende de formação teórica consistente e abertura à experimentação</w:t>
      </w:r>
    </w:p>
    <w:p w14:paraId="401FF8CB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>Dessa forma, a transformação da prática educativa não se resume à adoção de ferramentas digitais, mas envolve reconstrução consciente do papel do educador na sociedade contemporânea.</w:t>
      </w:r>
    </w:p>
    <w:p w14:paraId="25984BD4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 xml:space="preserve">Outro elemento fundamental na redefinição da identidade docente refere-se à competência para promover aprendizagem significativa em ambientes híbridos e interconectados. O professor contemporâneo precisa reconhecer que o espaço educativo ultrapassa os limites físicos da escola e se estende às redes digitais nas quais os estudantes constroem sociabilidades e </w:t>
      </w:r>
      <w:r w:rsidRPr="00A658F9">
        <w:rPr>
          <w:rFonts w:cs="Arial"/>
          <w:szCs w:val="24"/>
        </w:rPr>
        <w:lastRenderedPageBreak/>
        <w:t xml:space="preserve">produzem sentidos. Nesse contexto, </w:t>
      </w:r>
      <w:proofErr w:type="spellStart"/>
      <w:r w:rsidRPr="00A658F9">
        <w:rPr>
          <w:rFonts w:cs="Arial"/>
          <w:szCs w:val="24"/>
        </w:rPr>
        <w:t>Kenski</w:t>
      </w:r>
      <w:proofErr w:type="spellEnd"/>
      <w:r w:rsidRPr="00A658F9">
        <w:rPr>
          <w:rFonts w:cs="Arial"/>
          <w:szCs w:val="24"/>
        </w:rPr>
        <w:t xml:space="preserve"> (2012) afirma que “as tecnologias ampliam os espaços de aprendizagem, mas exigem novas formas de organização pedagógica”, indicando que a simples presença de plataformas não garante integração curricular consistente. </w:t>
      </w:r>
    </w:p>
    <w:p w14:paraId="5EA1D3D0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>A articulação entre experiências presenciais e virtuais demanda planejamento intencional, capaz de assegurar continuidade formativa e coerência metodológica. Assim, a atuação docente passa a envolver não apenas domínio de conteúdo, mas capacidade de desenhar percursos didáticos integrados, que dialoguem com a cultura digital sem perder rigor conceitual.</w:t>
      </w:r>
    </w:p>
    <w:p w14:paraId="0147BD90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 xml:space="preserve">Além disso, a formação profissional precisa contemplar reflexão crítica acerca das próprias tecnologias utilizadas. Não se trata apenas de adquirir habilidades técnicas, mas de compreender as implicações culturais e políticas das plataformas digitais. </w:t>
      </w:r>
    </w:p>
    <w:p w14:paraId="383FFF7A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>Como adverte Castells (2003), a sociedade em rede organiza-se a partir de estruturas informacionais que influenciam comportamentos e relações de poder, o que torna indispensável análise consciente dos ambientes virtuais empregados na educação. A atuação docente, nesse cenário, deve incluir problematização sobre algoritmos, circulação de dados e mediação tecnológica, evitando adesão acrítica a ferramentas que podem reproduzir lógicas mercadológicas ou excludentes.</w:t>
      </w:r>
    </w:p>
    <w:p w14:paraId="0A38ADB6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 xml:space="preserve">A transformação da identidade profissional também exige revisão das práticas avaliativas, pois os modelos tradicionais nem sempre contemplam competências desenvolvidas em contextos digitais. Moran (2015) argumenta que a avaliação precisa considerar processos colaborativos, autoria e resolução de problemas complexos, superando a centralidade da memorização mecânica. </w:t>
      </w:r>
    </w:p>
    <w:p w14:paraId="3B6CDB83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 xml:space="preserve">Ao incorporar tecnologias, o professor deve elaborar critérios que valorizem pensamento crítico, criatividade e capacidade argumentativa, garantindo coerência entre metodologia e instrumentos avaliativos. Essa mudança não implica abandono de referenciais acadêmicos, mas ampliação de perspectivas que reconheçam a complexidade da aprendizagem </w:t>
      </w:r>
      <w:r w:rsidRPr="00A658F9">
        <w:rPr>
          <w:rFonts w:cs="Arial"/>
          <w:szCs w:val="24"/>
        </w:rPr>
        <w:lastRenderedPageBreak/>
        <w:t>contemporânea.</w:t>
      </w:r>
    </w:p>
    <w:p w14:paraId="5A2DF380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 xml:space="preserve">Outro aspecto relevante refere-se às condições institucionais que sustentam a inovação pedagógica. A integração tecnológica pode ampliar possibilidades didáticas, mas também intensifica demandas administrativas e comunicacionais, exigindo equilíbrio entre inovação e sustentabilidade profissional. </w:t>
      </w:r>
    </w:p>
    <w:p w14:paraId="2FE35735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>Freire (1996) lembra que ensinar exige disponibilidade e compromisso ético, o que pressupõe condições adequadas de trabalho. Sem políticas de valorização docente, a sobrecarga pode comprometer a qualidade das práticas educativas e gerar resistência às mudanças. Dessa forma, a transformação profissional depende não apenas de iniciativa individual, mas de suporte estrutural consistente.</w:t>
      </w:r>
    </w:p>
    <w:p w14:paraId="3F9560B3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 xml:space="preserve">Por fim, a consolidação de uma identidade docente alinhada à cultura digital demanda postura investigativa permanente. O educador que pesquisa sua prática, analisa resultados e compartilha experiências fortalece a construção coletiva do conhecimento pedagógico. Lévy (1999) sustenta que o saber na era digital constitui processo dinâmico e colaborativo, o que reforça a importância de redes de aprendizagem entre profissionais. </w:t>
      </w:r>
    </w:p>
    <w:p w14:paraId="60AB81B3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>A tecnologia, nesse sentido, não apenas media o ensino, mas possibilita produção e disseminação de conhecimento educacional. Assim, a redefinição da identidade docente configura-se como movimento contínuo de reconstrução crítica, fundamentado em diálogo teórico, compromisso social e abertura às transformações culturais do presente.</w:t>
      </w:r>
    </w:p>
    <w:p w14:paraId="2E9BA597" w14:textId="77777777" w:rsidR="00A658F9" w:rsidRDefault="00A658F9" w:rsidP="00A658F9">
      <w:pPr>
        <w:spacing w:line="360" w:lineRule="auto"/>
        <w:ind w:firstLine="709"/>
        <w:rPr>
          <w:rFonts w:cs="Arial"/>
          <w:szCs w:val="24"/>
        </w:rPr>
      </w:pPr>
    </w:p>
    <w:p w14:paraId="0620C333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</w:p>
    <w:p w14:paraId="242C6B79" w14:textId="346BE7FB" w:rsidR="00A658F9" w:rsidRPr="00A658F9" w:rsidRDefault="00A658F9" w:rsidP="00A658F9">
      <w:pPr>
        <w:spacing w:line="360" w:lineRule="auto"/>
        <w:rPr>
          <w:rFonts w:cs="Arial"/>
          <w:b/>
          <w:bCs/>
          <w:szCs w:val="24"/>
        </w:rPr>
      </w:pPr>
      <w:r w:rsidRPr="00A658F9">
        <w:rPr>
          <w:rFonts w:cs="Arial"/>
          <w:b/>
          <w:bCs/>
          <w:szCs w:val="24"/>
        </w:rPr>
        <w:t xml:space="preserve">5 CONSIDERAÇÕES </w:t>
      </w:r>
      <w:r w:rsidRPr="00A658F9">
        <w:rPr>
          <w:rFonts w:cs="Arial"/>
          <w:b/>
          <w:bCs/>
          <w:szCs w:val="24"/>
        </w:rPr>
        <w:t>FINAIS</w:t>
      </w:r>
    </w:p>
    <w:p w14:paraId="5723BDB9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</w:p>
    <w:p w14:paraId="113247F6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 xml:space="preserve">A análise desenvolvida ao longo deste artigo permitiu examinar de forma crítica a relação entre educação e tecnologia, considerando suas implicações pedagógicas, sociais e profissionais. Partindo do objetivo de investigar se a integração de recursos digitais contribui efetivamente para a melhoria do processo de ensino-aprendizagem ou se pode aprofundar desigualdades </w:t>
      </w:r>
      <w:r w:rsidRPr="00A658F9">
        <w:rPr>
          <w:rFonts w:cs="Arial"/>
          <w:szCs w:val="24"/>
        </w:rPr>
        <w:lastRenderedPageBreak/>
        <w:t>estruturais, foi possível construir uma reflexão ampla, fundamentada e coerente com a complexidade do tema. A discussão evidenciou que a tecnologia, quando orientada por princípios pedagógicos consistentes, possui potencial significativo para qualificar práticas educativas.</w:t>
      </w:r>
    </w:p>
    <w:p w14:paraId="50FF7578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>No que se refere ao primeiro objetivo específico constatou-se que as ferramentas digitais ampliam metodologias, favorecem múltiplas linguagens e estimulam maior protagonismo discente. Entretanto, também ficou evidente que a inovação não ocorre de maneira automática, dependendo de planejamento, mediação docente qualificada e coerência curricular. Assim, conclui-se que a tecnologia pode potencializar a aprendizagem, desde que integrada com intencionalidade e fundamentação teórica.</w:t>
      </w:r>
    </w:p>
    <w:p w14:paraId="734A52E9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 xml:space="preserve">Quanto à investigação sobre os impactos sociais da digitalização educacional, verificou-se que a inclusão tecnológica ainda constitui desafio central. </w:t>
      </w:r>
    </w:p>
    <w:p w14:paraId="055B9814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>A democratização do acesso ao conhecimento depende não apenas da disponibilização de equipamentos, mas de políticas estruturadas que assegurem equidade, formação crítica e condições adequadas de uso. Desse modo, o estudo confirmou que a tecnologia pode tanto reduzir quanto ampliar desigualdades, dependendo do contexto em que é implementada.</w:t>
      </w:r>
    </w:p>
    <w:p w14:paraId="25E5EC3E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>Em relação à análise da formação docente, o objetivo de compreender as mudanças na identidade profissional foi igualmente alcançado. Observou-se que o professor permanece como figura essencial no processo educativo, assumindo papel de mediador, orientador e articulador de experiências de aprendizagem. A transformação tecnológica exige atualização constante, postura investigativa e compromisso ético com o desenvolvimento integral dos estudantes.</w:t>
      </w:r>
    </w:p>
    <w:p w14:paraId="00A4CA1D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>A pesquisa qualitativa e bibliográfica adotada mostrou-se adequada para aprofundar a compreensão teórica do fenômeno estudado. A abordagem exploratória permitiu identificar múltiplas dimensões da temática, enquanto o caráter descritivo possibilitou sistematizar argumentos de forma organizada e crítica. Dessa maneira, a metodologia escolhida contribuiu para alcançar os objetivos propostos inicialmente.</w:t>
      </w:r>
    </w:p>
    <w:p w14:paraId="4CEA67DE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lastRenderedPageBreak/>
        <w:t>Conclui-se que a integração entre educação e tecnologia não deve ser tratada como tendência passageira ou solução simplista para problemas históricos do sistema educacional. Trata-se de processo estrutural que exige reflexão contínua, planejamento estratégico e compromisso social. A inovação precisa estar alinhada à formação humana, evitando reducionismos técnicos ou mercadológicos.</w:t>
      </w:r>
    </w:p>
    <w:p w14:paraId="579F855E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>Além disso, a construção de uma educação tecnológica significativa requer articulação entre políticas públicas, formação docente e participação ativa da comunidade escolar. A consolidação de práticas inovadoras depende de condições institucionais que sustentem mudanças metodológicas de forma equilibrada e responsável.</w:t>
      </w:r>
    </w:p>
    <w:p w14:paraId="1DCC44A9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  <w:r w:rsidRPr="00A658F9">
        <w:rPr>
          <w:rFonts w:cs="Arial"/>
          <w:szCs w:val="24"/>
        </w:rPr>
        <w:t>Por fim, reafirma-se que os objetivos delineados neste estudo foram alcançados ao evidenciar que a tecnologia pode constituir instrumento de transformação educacional quando utilizada de maneira crítica, ética e inclusiva. O desafio contemporâneo não consiste em decidir se a tecnologia deve ou não estar presente na educação, mas em definir como integrá-la de modo a promover emancipação intelectual, equidade social e formação cidadã consistente.</w:t>
      </w:r>
    </w:p>
    <w:p w14:paraId="4072D53F" w14:textId="77777777" w:rsidR="00A658F9" w:rsidRDefault="00A658F9" w:rsidP="00A658F9">
      <w:pPr>
        <w:spacing w:line="360" w:lineRule="auto"/>
        <w:ind w:firstLine="709"/>
        <w:rPr>
          <w:rFonts w:cs="Arial"/>
          <w:szCs w:val="24"/>
        </w:rPr>
      </w:pPr>
    </w:p>
    <w:p w14:paraId="7558F234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</w:p>
    <w:p w14:paraId="106BA12A" w14:textId="77777777" w:rsidR="00A658F9" w:rsidRPr="00A658F9" w:rsidRDefault="00A658F9" w:rsidP="00A658F9">
      <w:pPr>
        <w:spacing w:line="360" w:lineRule="auto"/>
        <w:rPr>
          <w:rFonts w:cs="Arial"/>
          <w:b/>
          <w:bCs/>
          <w:szCs w:val="24"/>
        </w:rPr>
      </w:pPr>
      <w:r w:rsidRPr="00A658F9">
        <w:rPr>
          <w:rFonts w:cs="Arial"/>
          <w:b/>
          <w:bCs/>
          <w:szCs w:val="24"/>
        </w:rPr>
        <w:t xml:space="preserve">REFERÊNCIAS </w:t>
      </w:r>
    </w:p>
    <w:p w14:paraId="0C12827B" w14:textId="77777777" w:rsidR="00A658F9" w:rsidRPr="00A658F9" w:rsidRDefault="00A658F9" w:rsidP="00A658F9">
      <w:pPr>
        <w:spacing w:line="360" w:lineRule="auto"/>
        <w:ind w:firstLine="709"/>
        <w:rPr>
          <w:rFonts w:cs="Arial"/>
          <w:szCs w:val="24"/>
        </w:rPr>
      </w:pPr>
    </w:p>
    <w:p w14:paraId="3D246154" w14:textId="77777777" w:rsidR="00A658F9" w:rsidRPr="00A658F9" w:rsidRDefault="00A658F9" w:rsidP="00A658F9">
      <w:pPr>
        <w:spacing w:line="360" w:lineRule="auto"/>
        <w:rPr>
          <w:rFonts w:cs="Arial"/>
          <w:szCs w:val="24"/>
        </w:rPr>
      </w:pPr>
      <w:r w:rsidRPr="00A658F9">
        <w:rPr>
          <w:rFonts w:cs="Arial"/>
          <w:szCs w:val="24"/>
        </w:rPr>
        <w:t>CASTELLS, Manuel. A sociedade em rede. 7. ed. São Paulo: Paz e Terra, 2003.</w:t>
      </w:r>
    </w:p>
    <w:p w14:paraId="37B6B9A5" w14:textId="77777777" w:rsidR="00A658F9" w:rsidRPr="00A658F9" w:rsidRDefault="00A658F9" w:rsidP="00A658F9">
      <w:pPr>
        <w:spacing w:line="360" w:lineRule="auto"/>
        <w:rPr>
          <w:rFonts w:cs="Arial"/>
          <w:szCs w:val="24"/>
        </w:rPr>
      </w:pPr>
    </w:p>
    <w:p w14:paraId="77FCB885" w14:textId="77777777" w:rsidR="00A658F9" w:rsidRPr="00A658F9" w:rsidRDefault="00A658F9" w:rsidP="00A658F9">
      <w:pPr>
        <w:spacing w:line="360" w:lineRule="auto"/>
        <w:rPr>
          <w:rFonts w:cs="Arial"/>
          <w:szCs w:val="24"/>
        </w:rPr>
      </w:pPr>
      <w:r w:rsidRPr="00A658F9">
        <w:rPr>
          <w:rFonts w:cs="Arial"/>
          <w:szCs w:val="24"/>
        </w:rPr>
        <w:t>FREIRE, Paulo. Pedagogia da autonomia: saberes necessários à prática educativa. 25. ed. São Paulo: Paz e Terra, 1996.</w:t>
      </w:r>
    </w:p>
    <w:p w14:paraId="353FAE65" w14:textId="77777777" w:rsidR="00A658F9" w:rsidRPr="00A658F9" w:rsidRDefault="00A658F9" w:rsidP="00A658F9">
      <w:pPr>
        <w:spacing w:line="360" w:lineRule="auto"/>
        <w:rPr>
          <w:rFonts w:cs="Arial"/>
          <w:szCs w:val="24"/>
        </w:rPr>
      </w:pPr>
    </w:p>
    <w:p w14:paraId="671217B4" w14:textId="77777777" w:rsidR="00A658F9" w:rsidRPr="00A658F9" w:rsidRDefault="00A658F9" w:rsidP="00A658F9">
      <w:pPr>
        <w:spacing w:line="360" w:lineRule="auto"/>
        <w:rPr>
          <w:rFonts w:cs="Arial"/>
          <w:szCs w:val="24"/>
        </w:rPr>
      </w:pPr>
      <w:r w:rsidRPr="00A658F9">
        <w:rPr>
          <w:rFonts w:cs="Arial"/>
          <w:szCs w:val="24"/>
        </w:rPr>
        <w:t>KENSKI, Vani Moreira. Educação e tecnologias: o novo ritmo da informação. 8. ed. Campinas: Papirus, 2012.</w:t>
      </w:r>
    </w:p>
    <w:p w14:paraId="3C244B61" w14:textId="77777777" w:rsidR="00A658F9" w:rsidRPr="00A658F9" w:rsidRDefault="00A658F9" w:rsidP="00A658F9">
      <w:pPr>
        <w:spacing w:line="360" w:lineRule="auto"/>
        <w:rPr>
          <w:rFonts w:cs="Arial"/>
          <w:szCs w:val="24"/>
        </w:rPr>
      </w:pPr>
    </w:p>
    <w:p w14:paraId="576C8CCC" w14:textId="77777777" w:rsidR="00A658F9" w:rsidRPr="00A658F9" w:rsidRDefault="00A658F9" w:rsidP="00A658F9">
      <w:pPr>
        <w:spacing w:line="360" w:lineRule="auto"/>
        <w:rPr>
          <w:rFonts w:cs="Arial"/>
          <w:szCs w:val="24"/>
        </w:rPr>
      </w:pPr>
      <w:r w:rsidRPr="00A658F9">
        <w:rPr>
          <w:rFonts w:cs="Arial"/>
          <w:szCs w:val="24"/>
        </w:rPr>
        <w:t>LÉVY, Pierre. Cibercultura. São Paulo: Editora 34, 1999.</w:t>
      </w:r>
    </w:p>
    <w:p w14:paraId="7A624FAA" w14:textId="77777777" w:rsidR="00A658F9" w:rsidRPr="00A658F9" w:rsidRDefault="00A658F9" w:rsidP="00A658F9">
      <w:pPr>
        <w:spacing w:line="360" w:lineRule="auto"/>
        <w:rPr>
          <w:rFonts w:cs="Arial"/>
          <w:szCs w:val="24"/>
        </w:rPr>
      </w:pPr>
    </w:p>
    <w:p w14:paraId="289719A1" w14:textId="77777777" w:rsidR="00A658F9" w:rsidRPr="00A658F9" w:rsidRDefault="00A658F9" w:rsidP="00A658F9">
      <w:pPr>
        <w:spacing w:line="360" w:lineRule="auto"/>
        <w:rPr>
          <w:rFonts w:cs="Arial"/>
          <w:szCs w:val="24"/>
        </w:rPr>
      </w:pPr>
      <w:r w:rsidRPr="00A658F9">
        <w:rPr>
          <w:rFonts w:cs="Arial"/>
          <w:szCs w:val="24"/>
        </w:rPr>
        <w:t>MORAN, José Manuel. A educação que desejamos: novos desafios e como chegar lá. 5. ed. Campinas: Papirus, 2015.</w:t>
      </w:r>
    </w:p>
    <w:p w14:paraId="70583ACC" w14:textId="25B73E44" w:rsidR="00E25A6A" w:rsidRPr="00A658F9" w:rsidRDefault="00E25A6A" w:rsidP="00A658F9">
      <w:pPr>
        <w:spacing w:line="360" w:lineRule="auto"/>
        <w:rPr>
          <w:rFonts w:cs="Arial"/>
          <w:b/>
          <w:szCs w:val="24"/>
        </w:rPr>
      </w:pPr>
    </w:p>
    <w:sectPr w:rsidR="00E25A6A" w:rsidRPr="00A658F9" w:rsidSect="001B7638">
      <w:headerReference w:type="even" r:id="rId12"/>
      <w:headerReference w:type="default" r:id="rId13"/>
      <w:footerReference w:type="default" r:id="rId14"/>
      <w:pgSz w:w="11907" w:h="16840" w:code="9"/>
      <w:pgMar w:top="1701" w:right="1701" w:bottom="1418" w:left="1701" w:header="1134" w:footer="284" w:gutter="0"/>
      <w:cols w:space="720"/>
      <w:noEndnote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</wne:acdManifest>
    <wne:toolbarData r:id="rId1"/>
  </wne:toolbars>
  <wne:acds>
    <wne:acd wne:argValue="AQAAAAAA" wne:acdName="acd0" wne:fciIndexBasedOn="0065"/>
    <wne:acd wne:argValue="AgBSAGUAcwB1AG0AbwAgAC0AIABUAGUAeAB0AG8A" wne:acdName="acd1" wne:fciIndexBasedOn="0065"/>
    <wne:acd wne:argValue="AgBQAGEAcgDhAGcAcgBhAGYAbwA=" wne:acdName="acd2" wne:fciIndexBasedOn="0065"/>
    <wne:acd wne:argValue="AgBDAGkAdABhAOcA4wBvACAATABvAG4AZwBhAA==" wne:acdName="acd3" wne:fciIndexBasedOn="0065"/>
    <wne:acd wne:argValue="AgBBAGwA7QBuAGUAYQA=" wne:acdName="acd4" wne:fciIndexBasedOn="0065"/>
    <wne:acd wne:argValue="AgBTAHUAYgBhAGwA7QBuAGUAYQA=" wne:acdName="acd5" wne:fciIndexBasedOn="0065"/>
    <wne:acd wne:argValue="AgBSAGUAZgBlAHIA6gBuAGMAaQBhAHMA" wne:acdName="acd6" wne:fciIndexBasedOn="0065"/>
    <wne:acd wne:argValue="AgBUAGUAeAB0AG8AIAAtACAAVABhAGIAZQBsAGEAIABlACAAUQB1AGEAZAByAG8A" wne:acdName="acd7" wne:fciIndexBasedOn="0065"/>
    <wne:acd wne:argValue="AQAAAAEA" wne:acdName="acd8" wne:fciIndexBasedOn="0065"/>
    <wne:acd wne:argValue="AQAAAAIA" wne:acdName="acd9" wne:fciIndexBasedOn="0065"/>
    <wne:acd wne:argValue="AQAAAAMA" wne:acdName="acd10" wne:fciIndexBasedOn="0065"/>
    <wne:acd wne:argValue="AQAAAAQA" wne:acdName="acd11" wne:fciIndexBasedOn="0065"/>
    <wne:acd wne:argValue="AQAAAAUA" wne:acdName="acd12" wne:fciIndexBasedOn="0065"/>
    <wne:acd wne:argValue="AQAAAAYA" wne:acdName="acd13" wne:fciIndexBasedOn="0065"/>
    <wne:acd wne:argValue="AgBUAGkAdAB1AGwAbwAgAGQAZQAgAEcAcgDhAGYAaQBjAG8A" wne:acdName="acd14" wne:fciIndexBasedOn="0065"/>
    <wne:acd wne:argValue="AgBUAO0AdAB1AGwAbwAgAGQAZQAgAEYAaQBnAHUAcgBhAA==" wne:acdName="acd15" wne:fciIndexBasedOn="0065"/>
    <wne:acd wne:argValue="AgBUAGkAdAB1AGwAbwAgAGQAZQAgAFEAdQBhAGQAcgBvAA==" wne:acdName="acd16" wne:fciIndexBasedOn="0065"/>
    <wne:acd wne:argValue="AgBUAGkAdAB1AGwAbwAgAGQAZQAgAFQAYQBiAGUAbABhAA==" wne:acdName="acd17" wne:fciIndexBasedOn="0065"/>
    <wne:acd wne:argValue="AgBGAG8AbgB0AGUA" wne:acdName="acd18" wne:fciIndexBasedOn="0065"/>
    <wne:acd wne:argValue="AgBUAGkAdAB1AGwAbwAgAEEAcADqAG4AZABpAGMAZQAgAGUAIABBAG4AZQB4AG8A" wne:acdName="acd19" wne:fciIndexBasedOn="0065"/>
    <wne:acd wne:argValue="AgBGAGkAZwB1AHIAYQAgAG8AdQAgAEcAcgDhAGYAaQBjAG8A" wne:acdName="acd2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32909" w14:textId="77777777" w:rsidR="00D42E8F" w:rsidRDefault="00D42E8F">
      <w:r>
        <w:separator/>
      </w:r>
    </w:p>
    <w:p w14:paraId="683A0334" w14:textId="77777777" w:rsidR="00D42E8F" w:rsidRDefault="00D42E8F"/>
    <w:p w14:paraId="1499BFEE" w14:textId="77777777" w:rsidR="00D42E8F" w:rsidRDefault="00D42E8F"/>
  </w:endnote>
  <w:endnote w:type="continuationSeparator" w:id="0">
    <w:p w14:paraId="590E2B93" w14:textId="77777777" w:rsidR="00D42E8F" w:rsidRDefault="00D42E8F">
      <w:r>
        <w:continuationSeparator/>
      </w:r>
    </w:p>
    <w:p w14:paraId="0FAA899C" w14:textId="77777777" w:rsidR="00D42E8F" w:rsidRDefault="00D42E8F"/>
    <w:p w14:paraId="1C6DEC08" w14:textId="77777777" w:rsidR="00D42E8F" w:rsidRDefault="00D42E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FAA5A" w14:textId="77777777" w:rsidR="001276BD" w:rsidRPr="009109E6" w:rsidRDefault="001276BD" w:rsidP="009109E6">
    <w:pPr>
      <w:pStyle w:val="Rodap"/>
      <w:spacing w:line="276" w:lineRule="auto"/>
      <w:jc w:val="center"/>
      <w:rPr>
        <w:rFonts w:ascii="Times New Roman" w:hAnsi="Times New Roman"/>
        <w:szCs w:val="24"/>
      </w:rPr>
    </w:pPr>
  </w:p>
  <w:p w14:paraId="57B725A5" w14:textId="77777777" w:rsidR="001276BD" w:rsidRPr="009109E6" w:rsidRDefault="001276BD" w:rsidP="009109E6">
    <w:pPr>
      <w:spacing w:line="276" w:lineRule="auto"/>
      <w:rPr>
        <w:rFonts w:ascii="Times New Roman" w:hAnsi="Times New Roman"/>
        <w:szCs w:val="24"/>
      </w:rPr>
    </w:pPr>
  </w:p>
  <w:p w14:paraId="48F76549" w14:textId="77777777" w:rsidR="001276BD" w:rsidRPr="009109E6" w:rsidRDefault="001276BD" w:rsidP="009109E6">
    <w:pPr>
      <w:pStyle w:val="Rodap"/>
      <w:spacing w:line="276" w:lineRule="auto"/>
      <w:rPr>
        <w:rFonts w:ascii="Times New Roman" w:hAnsi="Times New Roman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5E6F1" w14:textId="77777777" w:rsidR="00D42E8F" w:rsidRDefault="00D42E8F">
      <w:r>
        <w:separator/>
      </w:r>
    </w:p>
  </w:footnote>
  <w:footnote w:type="continuationSeparator" w:id="0">
    <w:p w14:paraId="470F648E" w14:textId="77777777" w:rsidR="00D42E8F" w:rsidRDefault="00D42E8F">
      <w:r>
        <w:continuationSeparator/>
      </w:r>
    </w:p>
    <w:p w14:paraId="34916D69" w14:textId="77777777" w:rsidR="00D42E8F" w:rsidRDefault="00D42E8F"/>
    <w:p w14:paraId="4A1F161B" w14:textId="77777777" w:rsidR="00D42E8F" w:rsidRDefault="00D42E8F"/>
  </w:footnote>
  <w:footnote w:id="1">
    <w:p w14:paraId="47BF0C7B" w14:textId="77777777" w:rsidR="00A658F9" w:rsidRDefault="00A658F9" w:rsidP="00A658F9">
      <w:pPr>
        <w:pStyle w:val="Textodenotaderodap"/>
      </w:pPr>
      <w:r>
        <w:rPr>
          <w:rStyle w:val="Refdenotaderodap"/>
        </w:rPr>
        <w:footnoteRef/>
      </w:r>
      <w:r>
        <w:t xml:space="preserve"> </w:t>
      </w:r>
      <w:r w:rsidRPr="000D10DF">
        <w:t>dripereira79@gmail.com</w:t>
      </w:r>
    </w:p>
  </w:footnote>
  <w:footnote w:id="2">
    <w:p w14:paraId="074EA01B" w14:textId="77777777" w:rsidR="00A658F9" w:rsidRDefault="00A658F9" w:rsidP="00A658F9">
      <w:pPr>
        <w:pStyle w:val="Textodenotaderodap"/>
      </w:pPr>
      <w:r>
        <w:rPr>
          <w:rStyle w:val="Refdenotaderodap"/>
        </w:rPr>
        <w:footnoteRef/>
      </w:r>
      <w:r>
        <w:t xml:space="preserve"> c</w:t>
      </w:r>
      <w:r w:rsidRPr="000D10DF">
        <w:t>laudiamariapereiradesouza@gmail.com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907E0" w14:textId="77777777" w:rsidR="00981652" w:rsidRDefault="00981652"/>
  <w:p w14:paraId="3380037A" w14:textId="77777777" w:rsidR="00981652" w:rsidRDefault="0098165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52E93" w14:textId="549EFB0D" w:rsidR="001276BD" w:rsidRPr="009109E6" w:rsidRDefault="001276BD" w:rsidP="009109E6">
    <w:pPr>
      <w:pStyle w:val="Cabealho"/>
      <w:spacing w:line="276" w:lineRule="auto"/>
      <w:jc w:val="center"/>
      <w:rPr>
        <w:rFonts w:ascii="Times New Roman" w:hAnsi="Times New Roman"/>
        <w:sz w:val="16"/>
        <w:szCs w:val="16"/>
      </w:rPr>
    </w:pPr>
    <w:bookmarkStart w:id="4" w:name="_Hlk203138950"/>
    <w:bookmarkStart w:id="5" w:name="_Hlk203138951"/>
    <w:bookmarkStart w:id="6" w:name="_Hlk205209797"/>
    <w:bookmarkStart w:id="7" w:name="_Hlk205209798"/>
    <w:r w:rsidRPr="009109E6">
      <w:rPr>
        <w:rFonts w:ascii="Times New Roman" w:hAnsi="Times New Roman"/>
        <w:sz w:val="16"/>
        <w:szCs w:val="16"/>
      </w:rPr>
      <w:t xml:space="preserve">ISCI Revista Científica - </w:t>
    </w:r>
    <w:r w:rsidR="005906FB">
      <w:rPr>
        <w:rFonts w:ascii="Times New Roman" w:hAnsi="Times New Roman"/>
        <w:sz w:val="16"/>
        <w:szCs w:val="16"/>
      </w:rPr>
      <w:t>7</w:t>
    </w:r>
    <w:r w:rsidR="00DC2D2A">
      <w:rPr>
        <w:rFonts w:ascii="Times New Roman" w:hAnsi="Times New Roman"/>
        <w:sz w:val="16"/>
        <w:szCs w:val="16"/>
      </w:rPr>
      <w:t>1</w:t>
    </w:r>
    <w:r w:rsidRPr="009109E6">
      <w:rPr>
        <w:rFonts w:ascii="Times New Roman" w:hAnsi="Times New Roman"/>
        <w:sz w:val="16"/>
        <w:szCs w:val="16"/>
      </w:rPr>
      <w:t>ª Edição | Volume 1</w:t>
    </w:r>
    <w:r w:rsidR="00DE49B6">
      <w:rPr>
        <w:rFonts w:ascii="Times New Roman" w:hAnsi="Times New Roman"/>
        <w:sz w:val="16"/>
        <w:szCs w:val="16"/>
      </w:rPr>
      <w:t>3</w:t>
    </w:r>
    <w:r w:rsidRPr="009109E6">
      <w:rPr>
        <w:rFonts w:ascii="Times New Roman" w:hAnsi="Times New Roman"/>
        <w:sz w:val="16"/>
        <w:szCs w:val="16"/>
      </w:rPr>
      <w:t xml:space="preserve"> | Número </w:t>
    </w:r>
    <w:r w:rsidR="00DC2D2A">
      <w:rPr>
        <w:rFonts w:ascii="Times New Roman" w:hAnsi="Times New Roman"/>
        <w:sz w:val="16"/>
        <w:szCs w:val="16"/>
      </w:rPr>
      <w:t>4</w:t>
    </w:r>
    <w:r w:rsidRPr="009109E6">
      <w:rPr>
        <w:rFonts w:ascii="Times New Roman" w:hAnsi="Times New Roman"/>
        <w:sz w:val="16"/>
        <w:szCs w:val="16"/>
      </w:rPr>
      <w:t xml:space="preserve"> | </w:t>
    </w:r>
    <w:r w:rsidR="00DC2D2A">
      <w:rPr>
        <w:rFonts w:ascii="Times New Roman" w:hAnsi="Times New Roman"/>
        <w:sz w:val="16"/>
        <w:szCs w:val="16"/>
      </w:rPr>
      <w:t>abril</w:t>
    </w:r>
    <w:r w:rsidRPr="009109E6">
      <w:rPr>
        <w:rFonts w:ascii="Times New Roman" w:hAnsi="Times New Roman"/>
        <w:sz w:val="16"/>
        <w:szCs w:val="16"/>
      </w:rPr>
      <w:t>/202</w:t>
    </w:r>
    <w:r w:rsidR="00DE49B6">
      <w:rPr>
        <w:rFonts w:ascii="Times New Roman" w:hAnsi="Times New Roman"/>
        <w:sz w:val="16"/>
        <w:szCs w:val="16"/>
      </w:rPr>
      <w:t>6</w:t>
    </w:r>
  </w:p>
  <w:p w14:paraId="29C8675D" w14:textId="77777777" w:rsidR="001276BD" w:rsidRPr="009109E6" w:rsidRDefault="001276BD" w:rsidP="009109E6">
    <w:pPr>
      <w:spacing w:line="276" w:lineRule="auto"/>
      <w:rPr>
        <w:rFonts w:ascii="Times New Roman" w:hAnsi="Times New Roman"/>
        <w:sz w:val="16"/>
        <w:szCs w:val="16"/>
      </w:rPr>
    </w:pPr>
  </w:p>
  <w:p w14:paraId="1B207691" w14:textId="77777777" w:rsidR="00981652" w:rsidRPr="009109E6" w:rsidRDefault="00981652" w:rsidP="009109E6">
    <w:pPr>
      <w:spacing w:line="276" w:lineRule="auto"/>
      <w:rPr>
        <w:rFonts w:ascii="Times New Roman" w:hAnsi="Times New Roman"/>
        <w:sz w:val="16"/>
        <w:szCs w:val="16"/>
      </w:rPr>
    </w:pPr>
  </w:p>
  <w:bookmarkEnd w:id="4"/>
  <w:bookmarkEnd w:id="5"/>
  <w:bookmarkEnd w:id="6"/>
  <w:bookmarkEnd w:id="7"/>
  <w:p w14:paraId="6012BBC5" w14:textId="77777777" w:rsidR="001276BD" w:rsidRPr="009109E6" w:rsidRDefault="001276BD" w:rsidP="009109E6">
    <w:pPr>
      <w:spacing w:line="276" w:lineRule="auto"/>
      <w:rPr>
        <w:rFonts w:ascii="Times New Roman" w:hAnsi="Times New Roman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8424BC"/>
    <w:multiLevelType w:val="hybridMultilevel"/>
    <w:tmpl w:val="0302A98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FB45194"/>
    <w:multiLevelType w:val="multilevel"/>
    <w:tmpl w:val="B2DAD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6146C85"/>
    <w:multiLevelType w:val="hybridMultilevel"/>
    <w:tmpl w:val="DAC0A978"/>
    <w:lvl w:ilvl="0" w:tplc="0416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" w15:restartNumberingAfterBreak="0">
    <w:nsid w:val="382E72E9"/>
    <w:multiLevelType w:val="hybridMultilevel"/>
    <w:tmpl w:val="F8D8FDB0"/>
    <w:lvl w:ilvl="0" w:tplc="2BEA2FEA">
      <w:start w:val="1"/>
      <w:numFmt w:val="lowerLetter"/>
      <w:pStyle w:val="Alnea"/>
      <w:lvlText w:val="%1)"/>
      <w:lvlJc w:val="left"/>
      <w:pPr>
        <w:tabs>
          <w:tab w:val="num" w:pos="2132"/>
        </w:tabs>
        <w:ind w:left="2132" w:hanging="431"/>
      </w:pPr>
      <w:rPr>
        <w:rFonts w:ascii="Arial" w:hAnsi="Arial" w:hint="default"/>
        <w:b w:val="0"/>
        <w:i w:val="0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CD1032"/>
    <w:multiLevelType w:val="hybridMultilevel"/>
    <w:tmpl w:val="2CD8C3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38622F"/>
    <w:multiLevelType w:val="multilevel"/>
    <w:tmpl w:val="19C636F0"/>
    <w:lvl w:ilvl="0">
      <w:start w:val="1"/>
      <w:numFmt w:val="decimal"/>
      <w:lvlText w:val="%1"/>
      <w:lvlJc w:val="left"/>
      <w:pPr>
        <w:tabs>
          <w:tab w:val="num" w:pos="360"/>
        </w:tabs>
        <w:ind w:left="227" w:hanging="22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431"/>
        </w:tabs>
        <w:ind w:left="431" w:hanging="431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1080"/>
        </w:tabs>
        <w:ind w:left="227" w:hanging="227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80"/>
        </w:tabs>
        <w:ind w:left="227" w:hanging="22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42783AB7"/>
    <w:multiLevelType w:val="hybridMultilevel"/>
    <w:tmpl w:val="594084D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6544E7E"/>
    <w:multiLevelType w:val="singleLevel"/>
    <w:tmpl w:val="470AAC86"/>
    <w:lvl w:ilvl="0">
      <w:start w:val="1"/>
      <w:numFmt w:val="bullet"/>
      <w:pStyle w:val="Subalnea"/>
      <w:lvlText w:val="-"/>
      <w:lvlJc w:val="left"/>
      <w:pPr>
        <w:tabs>
          <w:tab w:val="num" w:pos="2529"/>
        </w:tabs>
        <w:ind w:left="2529" w:hanging="397"/>
      </w:pPr>
      <w:rPr>
        <w:rFonts w:ascii="Times New Roman" w:eastAsia="Times New Roman" w:hAnsi="Times New Roman" w:cs="Times New Roman" w:hint="default"/>
      </w:rPr>
    </w:lvl>
  </w:abstractNum>
  <w:abstractNum w:abstractNumId="8" w15:restartNumberingAfterBreak="0">
    <w:nsid w:val="4B5F36D3"/>
    <w:multiLevelType w:val="singleLevel"/>
    <w:tmpl w:val="5F248726"/>
    <w:lvl w:ilvl="0">
      <w:start w:val="1"/>
      <w:numFmt w:val="lowerLetter"/>
      <w:lvlText w:val="%1)"/>
      <w:lvlJc w:val="left"/>
      <w:pPr>
        <w:tabs>
          <w:tab w:val="num" w:pos="2132"/>
        </w:tabs>
        <w:ind w:left="2132" w:hanging="431"/>
      </w:pPr>
      <w:rPr>
        <w:rFonts w:ascii="Arial" w:hAnsi="Arial" w:hint="default"/>
        <w:sz w:val="24"/>
      </w:rPr>
    </w:lvl>
  </w:abstractNum>
  <w:abstractNum w:abstractNumId="9" w15:restartNumberingAfterBreak="0">
    <w:nsid w:val="55381B24"/>
    <w:multiLevelType w:val="hybridMultilevel"/>
    <w:tmpl w:val="BEF8C6BA"/>
    <w:lvl w:ilvl="0" w:tplc="04160001">
      <w:start w:val="1"/>
      <w:numFmt w:val="bullet"/>
      <w:lvlText w:val=""/>
      <w:lvlJc w:val="left"/>
      <w:pPr>
        <w:ind w:left="314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86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58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30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02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74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46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18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901" w:hanging="360"/>
      </w:pPr>
      <w:rPr>
        <w:rFonts w:ascii="Wingdings" w:hAnsi="Wingdings" w:hint="default"/>
      </w:rPr>
    </w:lvl>
  </w:abstractNum>
  <w:abstractNum w:abstractNumId="10" w15:restartNumberingAfterBreak="0">
    <w:nsid w:val="583A00E0"/>
    <w:multiLevelType w:val="hybridMultilevel"/>
    <w:tmpl w:val="631EF6E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AF64C74"/>
    <w:multiLevelType w:val="hybridMultilevel"/>
    <w:tmpl w:val="82381076"/>
    <w:lvl w:ilvl="0" w:tplc="EA045D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ADCF0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02CD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B061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B6811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298D9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D4EB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D1E82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9ECA1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5C8E7027"/>
    <w:multiLevelType w:val="multilevel"/>
    <w:tmpl w:val="50ECF1F8"/>
    <w:lvl w:ilvl="0">
      <w:start w:val="1"/>
      <w:numFmt w:val="decimal"/>
      <w:pStyle w:val="Ttulo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60B43447"/>
    <w:multiLevelType w:val="hybridMultilevel"/>
    <w:tmpl w:val="8B7239F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997210D"/>
    <w:multiLevelType w:val="singleLevel"/>
    <w:tmpl w:val="04C2CF76"/>
    <w:lvl w:ilvl="0">
      <w:start w:val="1"/>
      <w:numFmt w:val="decimal"/>
      <w:lvlText w:val="%1."/>
      <w:lvlJc w:val="left"/>
      <w:pPr>
        <w:tabs>
          <w:tab w:val="num" w:pos="2132"/>
        </w:tabs>
        <w:ind w:left="2132" w:hanging="431"/>
      </w:pPr>
      <w:rPr>
        <w:rFonts w:ascii="Arial" w:hAnsi="Arial" w:hint="default"/>
        <w:sz w:val="24"/>
      </w:rPr>
    </w:lvl>
  </w:abstractNum>
  <w:abstractNum w:abstractNumId="15" w15:restartNumberingAfterBreak="0">
    <w:nsid w:val="6A8D6F93"/>
    <w:multiLevelType w:val="hybridMultilevel"/>
    <w:tmpl w:val="42AE67D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1D6633D"/>
    <w:multiLevelType w:val="hybridMultilevel"/>
    <w:tmpl w:val="C0DAF038"/>
    <w:lvl w:ilvl="0" w:tplc="414EC7D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3AB311A"/>
    <w:multiLevelType w:val="multilevel"/>
    <w:tmpl w:val="FDA8D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46B0E69"/>
    <w:multiLevelType w:val="hybridMultilevel"/>
    <w:tmpl w:val="8C7ABDEC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B12C5246">
      <w:start w:val="1"/>
      <w:numFmt w:val="decimal"/>
      <w:lvlText w:val="%2)"/>
      <w:lvlJc w:val="left"/>
      <w:pPr>
        <w:ind w:left="1440" w:hanging="360"/>
      </w:pPr>
      <w:rPr>
        <w:rFonts w:ascii="Calibri" w:eastAsia="Times New Roman" w:hAnsi="Calibri" w:cs="Times New Roman"/>
      </w:r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42671219">
    <w:abstractNumId w:val="7"/>
  </w:num>
  <w:num w:numId="2" w16cid:durableId="202599680">
    <w:abstractNumId w:val="5"/>
  </w:num>
  <w:num w:numId="3" w16cid:durableId="230581030">
    <w:abstractNumId w:val="3"/>
  </w:num>
  <w:num w:numId="4" w16cid:durableId="796603497">
    <w:abstractNumId w:val="8"/>
  </w:num>
  <w:num w:numId="5" w16cid:durableId="2111314511">
    <w:abstractNumId w:val="14"/>
  </w:num>
  <w:num w:numId="6" w16cid:durableId="277610910">
    <w:abstractNumId w:val="3"/>
    <w:lvlOverride w:ilvl="0">
      <w:startOverride w:val="1"/>
    </w:lvlOverride>
  </w:num>
  <w:num w:numId="7" w16cid:durableId="682174537">
    <w:abstractNumId w:val="7"/>
  </w:num>
  <w:num w:numId="8" w16cid:durableId="111602738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036690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0940635">
    <w:abstractNumId w:val="11"/>
  </w:num>
  <w:num w:numId="11" w16cid:durableId="1980456299">
    <w:abstractNumId w:val="12"/>
  </w:num>
  <w:num w:numId="12" w16cid:durableId="63265348">
    <w:abstractNumId w:val="18"/>
  </w:num>
  <w:num w:numId="13" w16cid:durableId="1808425179">
    <w:abstractNumId w:val="13"/>
  </w:num>
  <w:num w:numId="14" w16cid:durableId="1091514588">
    <w:abstractNumId w:val="0"/>
  </w:num>
  <w:num w:numId="15" w16cid:durableId="1832864304">
    <w:abstractNumId w:val="16"/>
  </w:num>
  <w:num w:numId="16" w16cid:durableId="451943628">
    <w:abstractNumId w:val="17"/>
  </w:num>
  <w:num w:numId="17" w16cid:durableId="2081780769">
    <w:abstractNumId w:val="4"/>
  </w:num>
  <w:num w:numId="18" w16cid:durableId="1320308549">
    <w:abstractNumId w:val="6"/>
  </w:num>
  <w:num w:numId="19" w16cid:durableId="1177504348">
    <w:abstractNumId w:val="10"/>
  </w:num>
  <w:num w:numId="20" w16cid:durableId="798456510">
    <w:abstractNumId w:val="2"/>
  </w:num>
  <w:num w:numId="21" w16cid:durableId="923025973">
    <w:abstractNumId w:val="15"/>
  </w:num>
  <w:num w:numId="22" w16cid:durableId="1691250111">
    <w:abstractNumId w:val="9"/>
  </w:num>
  <w:num w:numId="23" w16cid:durableId="2704021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62F0"/>
    <w:rsid w:val="00004BFD"/>
    <w:rsid w:val="000071C4"/>
    <w:rsid w:val="0002022B"/>
    <w:rsid w:val="0002311A"/>
    <w:rsid w:val="00031B68"/>
    <w:rsid w:val="00040744"/>
    <w:rsid w:val="00045D4A"/>
    <w:rsid w:val="00050B79"/>
    <w:rsid w:val="00051B16"/>
    <w:rsid w:val="00052A84"/>
    <w:rsid w:val="00061507"/>
    <w:rsid w:val="00061834"/>
    <w:rsid w:val="00071B1D"/>
    <w:rsid w:val="000759E7"/>
    <w:rsid w:val="00077330"/>
    <w:rsid w:val="00077D33"/>
    <w:rsid w:val="000820F2"/>
    <w:rsid w:val="00086D08"/>
    <w:rsid w:val="00087AE8"/>
    <w:rsid w:val="000932B6"/>
    <w:rsid w:val="00093FE4"/>
    <w:rsid w:val="00095B97"/>
    <w:rsid w:val="0009600E"/>
    <w:rsid w:val="000A367F"/>
    <w:rsid w:val="000B1176"/>
    <w:rsid w:val="000B2F37"/>
    <w:rsid w:val="000B6906"/>
    <w:rsid w:val="000B7DA2"/>
    <w:rsid w:val="000C1AA9"/>
    <w:rsid w:val="000C5D21"/>
    <w:rsid w:val="000C68AF"/>
    <w:rsid w:val="000E39FD"/>
    <w:rsid w:val="000E40C9"/>
    <w:rsid w:val="000E48E6"/>
    <w:rsid w:val="000E7330"/>
    <w:rsid w:val="000F3F4C"/>
    <w:rsid w:val="000F4D1E"/>
    <w:rsid w:val="000F7C11"/>
    <w:rsid w:val="00107611"/>
    <w:rsid w:val="00116659"/>
    <w:rsid w:val="001276BD"/>
    <w:rsid w:val="0013557B"/>
    <w:rsid w:val="00150864"/>
    <w:rsid w:val="00152BCC"/>
    <w:rsid w:val="00182B35"/>
    <w:rsid w:val="00186F7C"/>
    <w:rsid w:val="00197CF6"/>
    <w:rsid w:val="001B62FD"/>
    <w:rsid w:val="001B737D"/>
    <w:rsid w:val="001B7638"/>
    <w:rsid w:val="001D015B"/>
    <w:rsid w:val="001D3A37"/>
    <w:rsid w:val="001E1B4B"/>
    <w:rsid w:val="001E4104"/>
    <w:rsid w:val="001E4E41"/>
    <w:rsid w:val="001E7B6F"/>
    <w:rsid w:val="001F6247"/>
    <w:rsid w:val="00207CF9"/>
    <w:rsid w:val="00215043"/>
    <w:rsid w:val="00215A8F"/>
    <w:rsid w:val="002212CE"/>
    <w:rsid w:val="00225009"/>
    <w:rsid w:val="00225E30"/>
    <w:rsid w:val="00232738"/>
    <w:rsid w:val="00241BED"/>
    <w:rsid w:val="0024563D"/>
    <w:rsid w:val="00246223"/>
    <w:rsid w:val="00260ABD"/>
    <w:rsid w:val="002648A7"/>
    <w:rsid w:val="00265545"/>
    <w:rsid w:val="00272870"/>
    <w:rsid w:val="00276469"/>
    <w:rsid w:val="0028154B"/>
    <w:rsid w:val="00286118"/>
    <w:rsid w:val="00287193"/>
    <w:rsid w:val="002879EC"/>
    <w:rsid w:val="0029576E"/>
    <w:rsid w:val="0029678C"/>
    <w:rsid w:val="002974D0"/>
    <w:rsid w:val="00297812"/>
    <w:rsid w:val="002B0318"/>
    <w:rsid w:val="002B2DAF"/>
    <w:rsid w:val="002C460D"/>
    <w:rsid w:val="002C6395"/>
    <w:rsid w:val="002D042F"/>
    <w:rsid w:val="002D2D3C"/>
    <w:rsid w:val="002D5A1A"/>
    <w:rsid w:val="002E1CDA"/>
    <w:rsid w:val="002F35DA"/>
    <w:rsid w:val="002F5BFA"/>
    <w:rsid w:val="003023FB"/>
    <w:rsid w:val="003118A7"/>
    <w:rsid w:val="00314CB9"/>
    <w:rsid w:val="003256DD"/>
    <w:rsid w:val="00333621"/>
    <w:rsid w:val="003345FD"/>
    <w:rsid w:val="003419AF"/>
    <w:rsid w:val="003473A9"/>
    <w:rsid w:val="0035002F"/>
    <w:rsid w:val="003522B5"/>
    <w:rsid w:val="00354F2E"/>
    <w:rsid w:val="00374929"/>
    <w:rsid w:val="0039312C"/>
    <w:rsid w:val="003B4E69"/>
    <w:rsid w:val="003C5183"/>
    <w:rsid w:val="003D0AAD"/>
    <w:rsid w:val="003D287D"/>
    <w:rsid w:val="003D30C2"/>
    <w:rsid w:val="003D5C96"/>
    <w:rsid w:val="003D5D9C"/>
    <w:rsid w:val="003E10AB"/>
    <w:rsid w:val="003E1B07"/>
    <w:rsid w:val="003E2BFA"/>
    <w:rsid w:val="003E38B0"/>
    <w:rsid w:val="004073EC"/>
    <w:rsid w:val="004108CB"/>
    <w:rsid w:val="00422930"/>
    <w:rsid w:val="0042361C"/>
    <w:rsid w:val="004301D1"/>
    <w:rsid w:val="00431BDC"/>
    <w:rsid w:val="004355B4"/>
    <w:rsid w:val="004459F0"/>
    <w:rsid w:val="00447EE7"/>
    <w:rsid w:val="00454C83"/>
    <w:rsid w:val="00481BCE"/>
    <w:rsid w:val="00482D45"/>
    <w:rsid w:val="0048422C"/>
    <w:rsid w:val="00496E2A"/>
    <w:rsid w:val="004A0691"/>
    <w:rsid w:val="004A206D"/>
    <w:rsid w:val="004B078F"/>
    <w:rsid w:val="004B15C5"/>
    <w:rsid w:val="004C3B6F"/>
    <w:rsid w:val="004C3C4F"/>
    <w:rsid w:val="004C5F7C"/>
    <w:rsid w:val="004C778F"/>
    <w:rsid w:val="004D4389"/>
    <w:rsid w:val="004D62F0"/>
    <w:rsid w:val="004D746C"/>
    <w:rsid w:val="004F28F9"/>
    <w:rsid w:val="00502C86"/>
    <w:rsid w:val="00507D28"/>
    <w:rsid w:val="00513939"/>
    <w:rsid w:val="00517237"/>
    <w:rsid w:val="00520050"/>
    <w:rsid w:val="00536EAF"/>
    <w:rsid w:val="0056164F"/>
    <w:rsid w:val="00563509"/>
    <w:rsid w:val="0056354D"/>
    <w:rsid w:val="0056725A"/>
    <w:rsid w:val="00570C71"/>
    <w:rsid w:val="005810CC"/>
    <w:rsid w:val="00587C26"/>
    <w:rsid w:val="005906FB"/>
    <w:rsid w:val="00590AE6"/>
    <w:rsid w:val="00593C32"/>
    <w:rsid w:val="00593EBF"/>
    <w:rsid w:val="00596447"/>
    <w:rsid w:val="005A0A05"/>
    <w:rsid w:val="005A3856"/>
    <w:rsid w:val="005B6684"/>
    <w:rsid w:val="005C4DF9"/>
    <w:rsid w:val="005C5769"/>
    <w:rsid w:val="005D0D63"/>
    <w:rsid w:val="005F7A45"/>
    <w:rsid w:val="00600128"/>
    <w:rsid w:val="0060457A"/>
    <w:rsid w:val="006141F8"/>
    <w:rsid w:val="00615657"/>
    <w:rsid w:val="00624EBE"/>
    <w:rsid w:val="00624EFE"/>
    <w:rsid w:val="006260DE"/>
    <w:rsid w:val="0063501A"/>
    <w:rsid w:val="0063601A"/>
    <w:rsid w:val="0063776F"/>
    <w:rsid w:val="00640F4E"/>
    <w:rsid w:val="0064177F"/>
    <w:rsid w:val="00641C5B"/>
    <w:rsid w:val="00644967"/>
    <w:rsid w:val="00650712"/>
    <w:rsid w:val="00653AD6"/>
    <w:rsid w:val="006722CE"/>
    <w:rsid w:val="006845F4"/>
    <w:rsid w:val="00685C5D"/>
    <w:rsid w:val="00686623"/>
    <w:rsid w:val="0069385C"/>
    <w:rsid w:val="00695ABA"/>
    <w:rsid w:val="006A35C1"/>
    <w:rsid w:val="006A5FD1"/>
    <w:rsid w:val="006A72E0"/>
    <w:rsid w:val="006B0472"/>
    <w:rsid w:val="006B1DB8"/>
    <w:rsid w:val="006B3250"/>
    <w:rsid w:val="006C4F90"/>
    <w:rsid w:val="006C5806"/>
    <w:rsid w:val="006D08B4"/>
    <w:rsid w:val="006D260C"/>
    <w:rsid w:val="006D64AA"/>
    <w:rsid w:val="006E01C6"/>
    <w:rsid w:val="006E38EC"/>
    <w:rsid w:val="006F0564"/>
    <w:rsid w:val="006F40BA"/>
    <w:rsid w:val="006F431D"/>
    <w:rsid w:val="006F6403"/>
    <w:rsid w:val="00701BA7"/>
    <w:rsid w:val="00702F7D"/>
    <w:rsid w:val="00704B38"/>
    <w:rsid w:val="00713070"/>
    <w:rsid w:val="007135AA"/>
    <w:rsid w:val="00725185"/>
    <w:rsid w:val="00725588"/>
    <w:rsid w:val="00727643"/>
    <w:rsid w:val="00735558"/>
    <w:rsid w:val="00751D30"/>
    <w:rsid w:val="00752151"/>
    <w:rsid w:val="00771223"/>
    <w:rsid w:val="0077625D"/>
    <w:rsid w:val="00786B13"/>
    <w:rsid w:val="00787C5D"/>
    <w:rsid w:val="0079570A"/>
    <w:rsid w:val="007A1647"/>
    <w:rsid w:val="007A1E51"/>
    <w:rsid w:val="007A3C80"/>
    <w:rsid w:val="007A71EF"/>
    <w:rsid w:val="007C205A"/>
    <w:rsid w:val="007C65D7"/>
    <w:rsid w:val="007D2A40"/>
    <w:rsid w:val="007E0F15"/>
    <w:rsid w:val="007E420B"/>
    <w:rsid w:val="007E44FE"/>
    <w:rsid w:val="007F5787"/>
    <w:rsid w:val="00803050"/>
    <w:rsid w:val="00807417"/>
    <w:rsid w:val="00810688"/>
    <w:rsid w:val="00817A2D"/>
    <w:rsid w:val="00817CDC"/>
    <w:rsid w:val="00820FA3"/>
    <w:rsid w:val="00821D72"/>
    <w:rsid w:val="00826BC7"/>
    <w:rsid w:val="0084251E"/>
    <w:rsid w:val="0084445A"/>
    <w:rsid w:val="00850EDF"/>
    <w:rsid w:val="008627B9"/>
    <w:rsid w:val="00862B91"/>
    <w:rsid w:val="00875B93"/>
    <w:rsid w:val="00882C71"/>
    <w:rsid w:val="00882E06"/>
    <w:rsid w:val="00892D27"/>
    <w:rsid w:val="008B0CB5"/>
    <w:rsid w:val="008D3316"/>
    <w:rsid w:val="008E082D"/>
    <w:rsid w:val="008E419E"/>
    <w:rsid w:val="008E654F"/>
    <w:rsid w:val="008F7746"/>
    <w:rsid w:val="00906604"/>
    <w:rsid w:val="00906612"/>
    <w:rsid w:val="009109E6"/>
    <w:rsid w:val="009136E6"/>
    <w:rsid w:val="00916510"/>
    <w:rsid w:val="0092044B"/>
    <w:rsid w:val="00935F64"/>
    <w:rsid w:val="00945FDB"/>
    <w:rsid w:val="00946BA3"/>
    <w:rsid w:val="00955815"/>
    <w:rsid w:val="00971182"/>
    <w:rsid w:val="009713CE"/>
    <w:rsid w:val="00971DE3"/>
    <w:rsid w:val="00974854"/>
    <w:rsid w:val="00981652"/>
    <w:rsid w:val="009829D5"/>
    <w:rsid w:val="0098593E"/>
    <w:rsid w:val="009A038E"/>
    <w:rsid w:val="009A1817"/>
    <w:rsid w:val="009A4E0C"/>
    <w:rsid w:val="009B50E0"/>
    <w:rsid w:val="009B5217"/>
    <w:rsid w:val="009B5EF4"/>
    <w:rsid w:val="009D2C54"/>
    <w:rsid w:val="009F0FC3"/>
    <w:rsid w:val="009F19A7"/>
    <w:rsid w:val="009F2387"/>
    <w:rsid w:val="00A010EF"/>
    <w:rsid w:val="00A03DDE"/>
    <w:rsid w:val="00A055DC"/>
    <w:rsid w:val="00A0586C"/>
    <w:rsid w:val="00A135BD"/>
    <w:rsid w:val="00A14B4F"/>
    <w:rsid w:val="00A16DFC"/>
    <w:rsid w:val="00A225A9"/>
    <w:rsid w:val="00A27914"/>
    <w:rsid w:val="00A30385"/>
    <w:rsid w:val="00A31510"/>
    <w:rsid w:val="00A32DF8"/>
    <w:rsid w:val="00A42183"/>
    <w:rsid w:val="00A439C1"/>
    <w:rsid w:val="00A52399"/>
    <w:rsid w:val="00A53010"/>
    <w:rsid w:val="00A57D99"/>
    <w:rsid w:val="00A6476C"/>
    <w:rsid w:val="00A658F9"/>
    <w:rsid w:val="00A66642"/>
    <w:rsid w:val="00A6710C"/>
    <w:rsid w:val="00A70CDC"/>
    <w:rsid w:val="00A72CB0"/>
    <w:rsid w:val="00AA1551"/>
    <w:rsid w:val="00AA4DEB"/>
    <w:rsid w:val="00AB4BC5"/>
    <w:rsid w:val="00AD13EE"/>
    <w:rsid w:val="00AD226D"/>
    <w:rsid w:val="00AD673D"/>
    <w:rsid w:val="00AD7994"/>
    <w:rsid w:val="00B03E84"/>
    <w:rsid w:val="00B14A35"/>
    <w:rsid w:val="00B210F7"/>
    <w:rsid w:val="00B26C8A"/>
    <w:rsid w:val="00B4388E"/>
    <w:rsid w:val="00B50FC8"/>
    <w:rsid w:val="00B51264"/>
    <w:rsid w:val="00B52D02"/>
    <w:rsid w:val="00B567B6"/>
    <w:rsid w:val="00B56B7B"/>
    <w:rsid w:val="00B56DD4"/>
    <w:rsid w:val="00B66861"/>
    <w:rsid w:val="00B71473"/>
    <w:rsid w:val="00B71F60"/>
    <w:rsid w:val="00B824C5"/>
    <w:rsid w:val="00B827D5"/>
    <w:rsid w:val="00B84875"/>
    <w:rsid w:val="00B85D0A"/>
    <w:rsid w:val="00B95BB1"/>
    <w:rsid w:val="00BA2116"/>
    <w:rsid w:val="00BA4A5D"/>
    <w:rsid w:val="00BA6A49"/>
    <w:rsid w:val="00BB0176"/>
    <w:rsid w:val="00BB40EA"/>
    <w:rsid w:val="00BC6426"/>
    <w:rsid w:val="00BC749D"/>
    <w:rsid w:val="00BD1738"/>
    <w:rsid w:val="00BD4FBE"/>
    <w:rsid w:val="00BD7B50"/>
    <w:rsid w:val="00BE3758"/>
    <w:rsid w:val="00BF4619"/>
    <w:rsid w:val="00C03702"/>
    <w:rsid w:val="00C04A92"/>
    <w:rsid w:val="00C15623"/>
    <w:rsid w:val="00C17B02"/>
    <w:rsid w:val="00C2592B"/>
    <w:rsid w:val="00C30FF4"/>
    <w:rsid w:val="00C34EB3"/>
    <w:rsid w:val="00C45A53"/>
    <w:rsid w:val="00C50E96"/>
    <w:rsid w:val="00C51464"/>
    <w:rsid w:val="00C64FB2"/>
    <w:rsid w:val="00C66AC9"/>
    <w:rsid w:val="00C729E8"/>
    <w:rsid w:val="00C74557"/>
    <w:rsid w:val="00C80B46"/>
    <w:rsid w:val="00C81BD5"/>
    <w:rsid w:val="00C8284F"/>
    <w:rsid w:val="00C85F43"/>
    <w:rsid w:val="00C87449"/>
    <w:rsid w:val="00C90125"/>
    <w:rsid w:val="00CA27F1"/>
    <w:rsid w:val="00CA4D12"/>
    <w:rsid w:val="00CA4F64"/>
    <w:rsid w:val="00CB35C4"/>
    <w:rsid w:val="00CB63F6"/>
    <w:rsid w:val="00CC33F3"/>
    <w:rsid w:val="00CC400E"/>
    <w:rsid w:val="00CC4F9D"/>
    <w:rsid w:val="00CC514B"/>
    <w:rsid w:val="00CD1111"/>
    <w:rsid w:val="00CE1F6F"/>
    <w:rsid w:val="00CE3412"/>
    <w:rsid w:val="00CE3C30"/>
    <w:rsid w:val="00CE4D9E"/>
    <w:rsid w:val="00CF03D5"/>
    <w:rsid w:val="00D03988"/>
    <w:rsid w:val="00D06E34"/>
    <w:rsid w:val="00D14BC0"/>
    <w:rsid w:val="00D259B3"/>
    <w:rsid w:val="00D278F5"/>
    <w:rsid w:val="00D27FC0"/>
    <w:rsid w:val="00D355D0"/>
    <w:rsid w:val="00D363D0"/>
    <w:rsid w:val="00D4255F"/>
    <w:rsid w:val="00D42E8F"/>
    <w:rsid w:val="00D51867"/>
    <w:rsid w:val="00D51F8F"/>
    <w:rsid w:val="00D521EE"/>
    <w:rsid w:val="00D56596"/>
    <w:rsid w:val="00D644C7"/>
    <w:rsid w:val="00D657F5"/>
    <w:rsid w:val="00D675C6"/>
    <w:rsid w:val="00D75674"/>
    <w:rsid w:val="00D760CF"/>
    <w:rsid w:val="00D8328E"/>
    <w:rsid w:val="00D840E4"/>
    <w:rsid w:val="00D85F2A"/>
    <w:rsid w:val="00D86FEA"/>
    <w:rsid w:val="00D9423C"/>
    <w:rsid w:val="00DA3C63"/>
    <w:rsid w:val="00DC1E52"/>
    <w:rsid w:val="00DC2D2A"/>
    <w:rsid w:val="00DC45DE"/>
    <w:rsid w:val="00DC5C39"/>
    <w:rsid w:val="00DE0A23"/>
    <w:rsid w:val="00DE49B6"/>
    <w:rsid w:val="00DF0DA2"/>
    <w:rsid w:val="00DF76A8"/>
    <w:rsid w:val="00E0089B"/>
    <w:rsid w:val="00E1185D"/>
    <w:rsid w:val="00E15CCE"/>
    <w:rsid w:val="00E16390"/>
    <w:rsid w:val="00E2074F"/>
    <w:rsid w:val="00E20BC9"/>
    <w:rsid w:val="00E21654"/>
    <w:rsid w:val="00E2554F"/>
    <w:rsid w:val="00E25A6A"/>
    <w:rsid w:val="00E305C2"/>
    <w:rsid w:val="00E32588"/>
    <w:rsid w:val="00E334A0"/>
    <w:rsid w:val="00E42369"/>
    <w:rsid w:val="00E4253E"/>
    <w:rsid w:val="00E43BC5"/>
    <w:rsid w:val="00E4529F"/>
    <w:rsid w:val="00E45E3B"/>
    <w:rsid w:val="00E46F86"/>
    <w:rsid w:val="00E476D8"/>
    <w:rsid w:val="00E5189D"/>
    <w:rsid w:val="00E54BE9"/>
    <w:rsid w:val="00E57E57"/>
    <w:rsid w:val="00E63080"/>
    <w:rsid w:val="00E63603"/>
    <w:rsid w:val="00E658DD"/>
    <w:rsid w:val="00E74467"/>
    <w:rsid w:val="00E748F8"/>
    <w:rsid w:val="00E76FFB"/>
    <w:rsid w:val="00E80580"/>
    <w:rsid w:val="00E81675"/>
    <w:rsid w:val="00E83C3F"/>
    <w:rsid w:val="00E935A7"/>
    <w:rsid w:val="00E977E8"/>
    <w:rsid w:val="00EA71E4"/>
    <w:rsid w:val="00EA7515"/>
    <w:rsid w:val="00EB546F"/>
    <w:rsid w:val="00EB7C70"/>
    <w:rsid w:val="00EC0B25"/>
    <w:rsid w:val="00EE022D"/>
    <w:rsid w:val="00EE415F"/>
    <w:rsid w:val="00EF0294"/>
    <w:rsid w:val="00EF0902"/>
    <w:rsid w:val="00EF3B5E"/>
    <w:rsid w:val="00EF3DB5"/>
    <w:rsid w:val="00EF61BD"/>
    <w:rsid w:val="00F00D16"/>
    <w:rsid w:val="00F20781"/>
    <w:rsid w:val="00F22D04"/>
    <w:rsid w:val="00F239F6"/>
    <w:rsid w:val="00F243C0"/>
    <w:rsid w:val="00F24D2D"/>
    <w:rsid w:val="00F33CBA"/>
    <w:rsid w:val="00F37E51"/>
    <w:rsid w:val="00F4018C"/>
    <w:rsid w:val="00F41BF3"/>
    <w:rsid w:val="00F41C27"/>
    <w:rsid w:val="00F41D73"/>
    <w:rsid w:val="00F566AF"/>
    <w:rsid w:val="00F56BCB"/>
    <w:rsid w:val="00F609BF"/>
    <w:rsid w:val="00F6207F"/>
    <w:rsid w:val="00F649F4"/>
    <w:rsid w:val="00F73402"/>
    <w:rsid w:val="00F872A1"/>
    <w:rsid w:val="00FA690E"/>
    <w:rsid w:val="00FB0482"/>
    <w:rsid w:val="00FB6EB3"/>
    <w:rsid w:val="00FC33D5"/>
    <w:rsid w:val="00FD272D"/>
    <w:rsid w:val="00FD5418"/>
    <w:rsid w:val="00FD6F0A"/>
    <w:rsid w:val="00FF1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38769D"/>
  <w15:docId w15:val="{FA0E3300-71FF-46F8-878B-0C88CB91B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5806"/>
    <w:pPr>
      <w:widowControl w:val="0"/>
      <w:jc w:val="both"/>
    </w:pPr>
    <w:rPr>
      <w:rFonts w:ascii="Arial" w:hAnsi="Arial"/>
      <w:snapToGrid w:val="0"/>
      <w:sz w:val="24"/>
    </w:rPr>
  </w:style>
  <w:style w:type="paragraph" w:styleId="Ttulo1">
    <w:name w:val="heading 1"/>
    <w:basedOn w:val="Pargrafo"/>
    <w:next w:val="Pargrafo"/>
    <w:qFormat/>
    <w:rsid w:val="00A6476C"/>
    <w:pPr>
      <w:numPr>
        <w:numId w:val="11"/>
      </w:numPr>
      <w:tabs>
        <w:tab w:val="clear" w:pos="1701"/>
        <w:tab w:val="left" w:pos="426"/>
      </w:tabs>
      <w:ind w:left="426" w:hanging="426"/>
      <w:outlineLvl w:val="0"/>
    </w:pPr>
    <w:rPr>
      <w:rFonts w:cs="Arial"/>
      <w:b/>
      <w:szCs w:val="24"/>
    </w:rPr>
  </w:style>
  <w:style w:type="paragraph" w:styleId="Ttulo2">
    <w:name w:val="heading 2"/>
    <w:basedOn w:val="Normal"/>
    <w:next w:val="Pargrafo"/>
    <w:qFormat/>
    <w:rsid w:val="00A6476C"/>
    <w:pPr>
      <w:keepNext/>
      <w:tabs>
        <w:tab w:val="left" w:pos="227"/>
      </w:tabs>
      <w:spacing w:line="360" w:lineRule="auto"/>
      <w:jc w:val="center"/>
      <w:outlineLvl w:val="1"/>
    </w:pPr>
    <w:rPr>
      <w:b/>
      <w:caps/>
      <w:szCs w:val="24"/>
    </w:rPr>
  </w:style>
  <w:style w:type="paragraph" w:styleId="Ttulo3">
    <w:name w:val="heading 3"/>
    <w:basedOn w:val="Normal"/>
    <w:next w:val="Pargrafo"/>
    <w:qFormat/>
    <w:rsid w:val="00EF0902"/>
    <w:pPr>
      <w:keepNext/>
      <w:numPr>
        <w:ilvl w:val="2"/>
        <w:numId w:val="2"/>
      </w:numPr>
      <w:tabs>
        <w:tab w:val="left" w:pos="227"/>
        <w:tab w:val="left" w:pos="624"/>
      </w:tabs>
      <w:spacing w:before="360" w:after="360" w:line="360" w:lineRule="auto"/>
      <w:outlineLvl w:val="2"/>
    </w:pPr>
  </w:style>
  <w:style w:type="paragraph" w:styleId="Ttulo4">
    <w:name w:val="heading 4"/>
    <w:basedOn w:val="Normal"/>
    <w:next w:val="Pargrafo"/>
    <w:qFormat/>
    <w:rsid w:val="00EF0902"/>
    <w:pPr>
      <w:keepNext/>
      <w:numPr>
        <w:ilvl w:val="3"/>
        <w:numId w:val="2"/>
      </w:numPr>
      <w:tabs>
        <w:tab w:val="left" w:pos="227"/>
        <w:tab w:val="left" w:pos="851"/>
      </w:tabs>
      <w:spacing w:before="360" w:after="360" w:line="360" w:lineRule="auto"/>
      <w:ind w:left="0" w:firstLine="0"/>
      <w:outlineLvl w:val="3"/>
    </w:pPr>
  </w:style>
  <w:style w:type="paragraph" w:styleId="Ttulo5">
    <w:name w:val="heading 5"/>
    <w:basedOn w:val="Normal"/>
    <w:next w:val="Pargrafo"/>
    <w:qFormat/>
    <w:rsid w:val="00EF0902"/>
    <w:pPr>
      <w:keepNext/>
      <w:numPr>
        <w:ilvl w:val="4"/>
        <w:numId w:val="2"/>
      </w:numPr>
      <w:tabs>
        <w:tab w:val="left" w:pos="227"/>
        <w:tab w:val="left" w:pos="1021"/>
      </w:tabs>
      <w:spacing w:before="360" w:after="360" w:line="360" w:lineRule="auto"/>
      <w:ind w:left="0" w:firstLine="0"/>
      <w:outlineLvl w:val="4"/>
    </w:pPr>
    <w:rPr>
      <w:i/>
      <w:color w:val="000000"/>
    </w:rPr>
  </w:style>
  <w:style w:type="paragraph" w:styleId="Ttulo6">
    <w:name w:val="heading 6"/>
    <w:basedOn w:val="Normal"/>
    <w:next w:val="Normal"/>
    <w:qFormat/>
    <w:rsid w:val="00862B91"/>
    <w:pPr>
      <w:pageBreakBefore/>
      <w:spacing w:after="360" w:line="360" w:lineRule="auto"/>
      <w:jc w:val="center"/>
      <w:outlineLvl w:val="5"/>
    </w:pPr>
    <w:rPr>
      <w:b/>
      <w:cap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grafo">
    <w:name w:val="Parágrafo"/>
    <w:basedOn w:val="Normal"/>
    <w:rsid w:val="009F19A7"/>
    <w:pPr>
      <w:tabs>
        <w:tab w:val="left" w:pos="1701"/>
      </w:tabs>
      <w:spacing w:line="360" w:lineRule="auto"/>
      <w:ind w:firstLine="1701"/>
    </w:pPr>
  </w:style>
  <w:style w:type="paragraph" w:styleId="Sumrio1">
    <w:name w:val="toc 1"/>
    <w:basedOn w:val="Normal"/>
    <w:next w:val="Normal"/>
    <w:autoRedefine/>
    <w:uiPriority w:val="39"/>
    <w:rsid w:val="00A6476C"/>
    <w:pPr>
      <w:tabs>
        <w:tab w:val="left" w:pos="480"/>
        <w:tab w:val="right" w:leader="dot" w:pos="9062"/>
      </w:tabs>
      <w:spacing w:line="360" w:lineRule="auto"/>
    </w:pPr>
    <w:rPr>
      <w:rFonts w:cs="Arial"/>
      <w:noProof/>
      <w:szCs w:val="24"/>
    </w:rPr>
  </w:style>
  <w:style w:type="paragraph" w:customStyle="1" w:styleId="Agradecimentos">
    <w:name w:val="Agradecimentos"/>
    <w:basedOn w:val="Normal"/>
    <w:rsid w:val="006C5806"/>
    <w:pPr>
      <w:spacing w:after="120" w:line="360" w:lineRule="auto"/>
      <w:ind w:firstLine="1701"/>
    </w:pPr>
  </w:style>
  <w:style w:type="paragraph" w:customStyle="1" w:styleId="Dedicatria">
    <w:name w:val="Dedicatória"/>
    <w:basedOn w:val="Normal"/>
    <w:rsid w:val="00E977E8"/>
    <w:pPr>
      <w:spacing w:line="360" w:lineRule="auto"/>
      <w:ind w:left="3969"/>
    </w:pPr>
  </w:style>
  <w:style w:type="paragraph" w:styleId="Sumrio2">
    <w:name w:val="toc 2"/>
    <w:basedOn w:val="Normal"/>
    <w:next w:val="Normal"/>
    <w:autoRedefine/>
    <w:semiHidden/>
    <w:rsid w:val="006C5806"/>
    <w:pPr>
      <w:ind w:left="240"/>
    </w:pPr>
  </w:style>
  <w:style w:type="paragraph" w:customStyle="1" w:styleId="Epgrafe">
    <w:name w:val="Epígrafe"/>
    <w:basedOn w:val="Normal"/>
    <w:rsid w:val="006C5806"/>
    <w:pPr>
      <w:ind w:left="3969"/>
    </w:pPr>
  </w:style>
  <w:style w:type="paragraph" w:customStyle="1" w:styleId="CitaoLonga">
    <w:name w:val="Citação Longa"/>
    <w:basedOn w:val="Normal"/>
    <w:next w:val="Pargrafo"/>
    <w:rsid w:val="00A53010"/>
    <w:pPr>
      <w:widowControl/>
      <w:spacing w:before="360" w:after="360"/>
      <w:ind w:left="2268"/>
      <w:contextualSpacing/>
    </w:pPr>
    <w:rPr>
      <w:sz w:val="20"/>
    </w:rPr>
  </w:style>
  <w:style w:type="paragraph" w:styleId="Sumrio3">
    <w:name w:val="toc 3"/>
    <w:basedOn w:val="Normal"/>
    <w:next w:val="Normal"/>
    <w:autoRedefine/>
    <w:semiHidden/>
    <w:rsid w:val="006C5806"/>
    <w:pPr>
      <w:ind w:left="480"/>
    </w:pPr>
  </w:style>
  <w:style w:type="paragraph" w:customStyle="1" w:styleId="LocaleAnodeEntrega">
    <w:name w:val="Local e Ano de Entrega"/>
    <w:basedOn w:val="Normal"/>
    <w:rsid w:val="004459F0"/>
    <w:pPr>
      <w:jc w:val="center"/>
    </w:pPr>
    <w:rPr>
      <w:szCs w:val="24"/>
    </w:rPr>
  </w:style>
  <w:style w:type="paragraph" w:customStyle="1" w:styleId="Subalnea">
    <w:name w:val="Subalínea"/>
    <w:basedOn w:val="Normal"/>
    <w:rsid w:val="009F19A7"/>
    <w:pPr>
      <w:numPr>
        <w:numId w:val="1"/>
      </w:numPr>
      <w:spacing w:line="360" w:lineRule="auto"/>
    </w:pPr>
  </w:style>
  <w:style w:type="paragraph" w:customStyle="1" w:styleId="Alnea">
    <w:name w:val="Alínea"/>
    <w:basedOn w:val="Subalnea"/>
    <w:rsid w:val="009F19A7"/>
    <w:pPr>
      <w:numPr>
        <w:numId w:val="3"/>
      </w:numPr>
    </w:pPr>
  </w:style>
  <w:style w:type="paragraph" w:styleId="Sumrio4">
    <w:name w:val="toc 4"/>
    <w:basedOn w:val="Normal"/>
    <w:next w:val="Normal"/>
    <w:autoRedefine/>
    <w:semiHidden/>
    <w:rsid w:val="006C5806"/>
    <w:pPr>
      <w:ind w:left="720"/>
    </w:pPr>
  </w:style>
  <w:style w:type="paragraph" w:styleId="Sumrio5">
    <w:name w:val="toc 5"/>
    <w:basedOn w:val="Normal"/>
    <w:next w:val="Normal"/>
    <w:autoRedefine/>
    <w:semiHidden/>
    <w:rsid w:val="006C5806"/>
    <w:pPr>
      <w:ind w:left="960"/>
    </w:pPr>
  </w:style>
  <w:style w:type="paragraph" w:customStyle="1" w:styleId="NaturezadoTrabalho">
    <w:name w:val="Natureza do Trabalho"/>
    <w:basedOn w:val="Normal"/>
    <w:rsid w:val="003D30C2"/>
    <w:pPr>
      <w:ind w:left="3969"/>
    </w:pPr>
    <w:rPr>
      <w:sz w:val="20"/>
      <w:szCs w:val="22"/>
    </w:rPr>
  </w:style>
  <w:style w:type="paragraph" w:styleId="Rodap">
    <w:name w:val="footer"/>
    <w:basedOn w:val="Normal"/>
    <w:link w:val="RodapChar"/>
    <w:rsid w:val="006C5806"/>
    <w:pPr>
      <w:tabs>
        <w:tab w:val="center" w:pos="4419"/>
        <w:tab w:val="right" w:pos="8838"/>
      </w:tabs>
    </w:pPr>
  </w:style>
  <w:style w:type="paragraph" w:styleId="Sumrio6">
    <w:name w:val="toc 6"/>
    <w:basedOn w:val="Normal"/>
    <w:next w:val="Normal"/>
    <w:autoRedefine/>
    <w:semiHidden/>
    <w:rsid w:val="006C5806"/>
    <w:pPr>
      <w:ind w:left="1200"/>
    </w:pPr>
  </w:style>
  <w:style w:type="paragraph" w:customStyle="1" w:styleId="NomedoAutoreCurso">
    <w:name w:val="Nome do Autor e Curso"/>
    <w:basedOn w:val="Normal"/>
    <w:rsid w:val="00787C5D"/>
    <w:pPr>
      <w:jc w:val="center"/>
    </w:pPr>
    <w:rPr>
      <w:caps/>
      <w:sz w:val="28"/>
      <w:szCs w:val="32"/>
    </w:rPr>
  </w:style>
  <w:style w:type="paragraph" w:customStyle="1" w:styleId="TtulodoTrabalho">
    <w:name w:val="Título do Trabalho"/>
    <w:basedOn w:val="Normal"/>
    <w:next w:val="SubttulodoTrabalho"/>
    <w:rsid w:val="00152BCC"/>
    <w:pPr>
      <w:jc w:val="center"/>
    </w:pPr>
    <w:rPr>
      <w:b/>
      <w:caps/>
      <w:sz w:val="32"/>
    </w:rPr>
  </w:style>
  <w:style w:type="paragraph" w:customStyle="1" w:styleId="SubttulodoTrabalho">
    <w:name w:val="Subtítulo do Trabalho"/>
    <w:basedOn w:val="Normal"/>
    <w:next w:val="Normal"/>
    <w:rsid w:val="00152BCC"/>
    <w:pPr>
      <w:jc w:val="center"/>
    </w:pPr>
    <w:rPr>
      <w:sz w:val="28"/>
      <w:szCs w:val="28"/>
    </w:rPr>
  </w:style>
  <w:style w:type="paragraph" w:customStyle="1" w:styleId="Orientador">
    <w:name w:val="Orientador"/>
    <w:basedOn w:val="Normal"/>
    <w:rsid w:val="006C5806"/>
    <w:pPr>
      <w:jc w:val="right"/>
    </w:pPr>
  </w:style>
  <w:style w:type="paragraph" w:styleId="Sumrio7">
    <w:name w:val="toc 7"/>
    <w:basedOn w:val="Normal"/>
    <w:next w:val="Normal"/>
    <w:autoRedefine/>
    <w:semiHidden/>
    <w:rsid w:val="006C5806"/>
    <w:pPr>
      <w:ind w:left="1440"/>
    </w:pPr>
  </w:style>
  <w:style w:type="paragraph" w:customStyle="1" w:styleId="Texto-Resumo">
    <w:name w:val="Texto - Resumo"/>
    <w:basedOn w:val="Normal"/>
    <w:rsid w:val="006C5806"/>
    <w:pPr>
      <w:spacing w:after="480"/>
    </w:pPr>
  </w:style>
  <w:style w:type="paragraph" w:customStyle="1" w:styleId="Resumo-Texto">
    <w:name w:val="Resumo - Texto"/>
    <w:basedOn w:val="Agradecimentos"/>
    <w:rsid w:val="00031B68"/>
    <w:pPr>
      <w:spacing w:after="480" w:line="240" w:lineRule="auto"/>
      <w:ind w:firstLine="0"/>
    </w:pPr>
    <w:rPr>
      <w:snapToGrid/>
    </w:rPr>
  </w:style>
  <w:style w:type="character" w:styleId="Refdenotaderodap">
    <w:name w:val="footnote reference"/>
    <w:uiPriority w:val="99"/>
    <w:semiHidden/>
    <w:rsid w:val="006C5806"/>
    <w:rPr>
      <w:vertAlign w:val="superscript"/>
    </w:rPr>
  </w:style>
  <w:style w:type="paragraph" w:styleId="Textodenotaderodap">
    <w:name w:val="footnote text"/>
    <w:basedOn w:val="Normal"/>
    <w:link w:val="TextodenotaderodapChar"/>
    <w:uiPriority w:val="99"/>
    <w:semiHidden/>
    <w:rsid w:val="006C5806"/>
    <w:rPr>
      <w:sz w:val="20"/>
    </w:rPr>
  </w:style>
  <w:style w:type="paragraph" w:customStyle="1" w:styleId="TitulodeQuadro">
    <w:name w:val="Titulo de Quadro"/>
    <w:basedOn w:val="TitulodeTabela"/>
    <w:next w:val="Normal"/>
    <w:rsid w:val="00D363D0"/>
  </w:style>
  <w:style w:type="paragraph" w:customStyle="1" w:styleId="Ttulo-Resumo">
    <w:name w:val="Título - Resumo"/>
    <w:basedOn w:val="Normal"/>
    <w:rsid w:val="006C5806"/>
    <w:pPr>
      <w:spacing w:before="360" w:after="960"/>
      <w:jc w:val="center"/>
    </w:pPr>
    <w:rPr>
      <w:b/>
      <w:caps/>
      <w:snapToGrid/>
      <w:szCs w:val="24"/>
    </w:rPr>
  </w:style>
  <w:style w:type="paragraph" w:customStyle="1" w:styleId="Referncias">
    <w:name w:val="Referências"/>
    <w:basedOn w:val="Normal"/>
    <w:rsid w:val="00615657"/>
    <w:pPr>
      <w:widowControl/>
      <w:spacing w:after="360"/>
      <w:jc w:val="left"/>
    </w:pPr>
    <w:rPr>
      <w:snapToGrid/>
      <w:szCs w:val="24"/>
    </w:rPr>
  </w:style>
  <w:style w:type="paragraph" w:customStyle="1" w:styleId="NmerodePgina">
    <w:name w:val="Número de Página"/>
    <w:basedOn w:val="Normal"/>
    <w:rsid w:val="006C5806"/>
    <w:pPr>
      <w:jc w:val="right"/>
    </w:pPr>
    <w:rPr>
      <w:sz w:val="20"/>
    </w:rPr>
  </w:style>
  <w:style w:type="paragraph" w:customStyle="1" w:styleId="Legendas">
    <w:name w:val="Legendas"/>
    <w:basedOn w:val="Normal"/>
    <w:rsid w:val="006C5806"/>
    <w:pPr>
      <w:spacing w:after="360"/>
      <w:jc w:val="left"/>
    </w:pPr>
    <w:rPr>
      <w:snapToGrid/>
      <w:sz w:val="20"/>
      <w:szCs w:val="24"/>
    </w:rPr>
  </w:style>
  <w:style w:type="paragraph" w:customStyle="1" w:styleId="NotadeRodap">
    <w:name w:val="Nota de Rodapé"/>
    <w:basedOn w:val="Normal"/>
    <w:rsid w:val="006C5806"/>
    <w:pPr>
      <w:jc w:val="left"/>
    </w:pPr>
    <w:rPr>
      <w:snapToGrid/>
      <w:sz w:val="20"/>
    </w:rPr>
  </w:style>
  <w:style w:type="paragraph" w:styleId="Sumrio8">
    <w:name w:val="toc 8"/>
    <w:basedOn w:val="Normal"/>
    <w:next w:val="Normal"/>
    <w:autoRedefine/>
    <w:semiHidden/>
    <w:rsid w:val="006C5806"/>
    <w:pPr>
      <w:ind w:left="1680"/>
    </w:pPr>
  </w:style>
  <w:style w:type="paragraph" w:styleId="Sumrio9">
    <w:name w:val="toc 9"/>
    <w:basedOn w:val="Normal"/>
    <w:next w:val="Normal"/>
    <w:autoRedefine/>
    <w:semiHidden/>
    <w:rsid w:val="006C5806"/>
    <w:pPr>
      <w:ind w:left="1920"/>
    </w:pPr>
  </w:style>
  <w:style w:type="paragraph" w:customStyle="1" w:styleId="Sumrio">
    <w:name w:val="Sumário"/>
    <w:basedOn w:val="Normal"/>
    <w:rsid w:val="006C5806"/>
    <w:pPr>
      <w:tabs>
        <w:tab w:val="left" w:leader="dot" w:pos="8732"/>
      </w:tabs>
      <w:spacing w:line="360" w:lineRule="auto"/>
    </w:pPr>
  </w:style>
  <w:style w:type="character" w:styleId="Hyperlink">
    <w:name w:val="Hyperlink"/>
    <w:uiPriority w:val="99"/>
    <w:rsid w:val="006C5806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rsid w:val="006C5806"/>
    <w:pPr>
      <w:tabs>
        <w:tab w:val="center" w:pos="4419"/>
        <w:tab w:val="right" w:pos="8838"/>
      </w:tabs>
    </w:pPr>
  </w:style>
  <w:style w:type="character" w:customStyle="1" w:styleId="FonteChar">
    <w:name w:val="Fonte Char"/>
    <w:link w:val="Fonte"/>
    <w:rsid w:val="004108CB"/>
    <w:rPr>
      <w:rFonts w:ascii="Arial" w:hAnsi="Arial"/>
      <w:snapToGrid w:val="0"/>
    </w:rPr>
  </w:style>
  <w:style w:type="paragraph" w:customStyle="1" w:styleId="TituloApndiceeAnexo">
    <w:name w:val="Titulo Apêndice e Anexo"/>
    <w:basedOn w:val="Normal"/>
    <w:next w:val="Pargrafo"/>
    <w:rsid w:val="00E83C3F"/>
    <w:pPr>
      <w:spacing w:after="360"/>
      <w:jc w:val="center"/>
    </w:pPr>
  </w:style>
  <w:style w:type="table" w:styleId="Tabelacomgrade">
    <w:name w:val="Table Grid"/>
    <w:basedOn w:val="Tabelanormal"/>
    <w:uiPriority w:val="39"/>
    <w:rsid w:val="000C5D2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ulodeTabela">
    <w:name w:val="Titulo de Tabela"/>
    <w:basedOn w:val="Normal"/>
    <w:rsid w:val="004108CB"/>
    <w:pPr>
      <w:spacing w:before="360"/>
    </w:pPr>
  </w:style>
  <w:style w:type="paragraph" w:customStyle="1" w:styleId="TtulodeFigura">
    <w:name w:val="Título de Figura"/>
    <w:basedOn w:val="Normal"/>
    <w:next w:val="Fonte"/>
    <w:rsid w:val="004108CB"/>
    <w:pPr>
      <w:spacing w:before="360"/>
    </w:pPr>
  </w:style>
  <w:style w:type="paragraph" w:customStyle="1" w:styleId="Fonte">
    <w:name w:val="Fonte"/>
    <w:basedOn w:val="Normal"/>
    <w:next w:val="Pargrafo"/>
    <w:link w:val="FonteChar"/>
    <w:rsid w:val="004108CB"/>
    <w:pPr>
      <w:spacing w:after="360"/>
      <w:contextualSpacing/>
      <w:jc w:val="left"/>
    </w:pPr>
    <w:rPr>
      <w:sz w:val="20"/>
    </w:rPr>
  </w:style>
  <w:style w:type="paragraph" w:customStyle="1" w:styleId="TitulodeGrfico">
    <w:name w:val="Titulo de Gráfico"/>
    <w:basedOn w:val="TtulodeFigura"/>
    <w:next w:val="Fonte"/>
    <w:rsid w:val="004108CB"/>
  </w:style>
  <w:style w:type="paragraph" w:customStyle="1" w:styleId="Naturezadotrabalho0">
    <w:name w:val="Natureza do trabalho"/>
    <w:basedOn w:val="Normal"/>
    <w:rsid w:val="000E40C9"/>
    <w:pPr>
      <w:widowControl/>
      <w:tabs>
        <w:tab w:val="left" w:pos="-170"/>
        <w:tab w:val="left" w:leader="dot" w:pos="6804"/>
        <w:tab w:val="left" w:pos="8547"/>
      </w:tabs>
      <w:spacing w:line="360" w:lineRule="atLeast"/>
      <w:ind w:left="4536"/>
    </w:pPr>
    <w:rPr>
      <w:noProof/>
      <w:snapToGrid/>
      <w:szCs w:val="24"/>
    </w:rPr>
  </w:style>
  <w:style w:type="paragraph" w:customStyle="1" w:styleId="FiguraouGrfico">
    <w:name w:val="Figura ou Gráfico"/>
    <w:basedOn w:val="Normal"/>
    <w:next w:val="Normal"/>
    <w:rsid w:val="004108CB"/>
    <w:pPr>
      <w:jc w:val="center"/>
    </w:pPr>
  </w:style>
  <w:style w:type="paragraph" w:customStyle="1" w:styleId="Texto-TabelaeQuadro">
    <w:name w:val="Texto - Tabela e Quadro"/>
    <w:basedOn w:val="Normal"/>
    <w:rsid w:val="00E935A7"/>
    <w:rPr>
      <w:sz w:val="20"/>
    </w:rPr>
  </w:style>
  <w:style w:type="paragraph" w:styleId="MapadoDocumento">
    <w:name w:val="Document Map"/>
    <w:basedOn w:val="Normal"/>
    <w:semiHidden/>
    <w:rsid w:val="00040744"/>
    <w:pPr>
      <w:shd w:val="clear" w:color="auto" w:fill="000080"/>
    </w:pPr>
    <w:rPr>
      <w:rFonts w:ascii="Tahoma" w:hAnsi="Tahoma" w:cs="Tahoma"/>
      <w:sz w:val="20"/>
    </w:rPr>
  </w:style>
  <w:style w:type="paragraph" w:customStyle="1" w:styleId="Titulo-ElementosPr">
    <w:name w:val="Titulo - Elementos Pré"/>
    <w:basedOn w:val="Ttulo6"/>
    <w:rsid w:val="00F20781"/>
    <w:pPr>
      <w:outlineLvl w:val="6"/>
    </w:pPr>
  </w:style>
  <w:style w:type="paragraph" w:styleId="PargrafodaLista">
    <w:name w:val="List Paragraph"/>
    <w:basedOn w:val="Normal"/>
    <w:uiPriority w:val="34"/>
    <w:qFormat/>
    <w:rsid w:val="003D5D9C"/>
    <w:pPr>
      <w:widowControl/>
      <w:ind w:left="720"/>
      <w:contextualSpacing/>
      <w:jc w:val="left"/>
    </w:pPr>
    <w:rPr>
      <w:rFonts w:ascii="Times New Roman" w:hAnsi="Times New Roman"/>
      <w:snapToGrid/>
      <w:szCs w:val="24"/>
    </w:rPr>
  </w:style>
  <w:style w:type="paragraph" w:styleId="Textodebalo">
    <w:name w:val="Balloon Text"/>
    <w:basedOn w:val="Normal"/>
    <w:link w:val="TextodebaloChar"/>
    <w:semiHidden/>
    <w:unhideWhenUsed/>
    <w:rsid w:val="00593EBF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semiHidden/>
    <w:rsid w:val="00593EBF"/>
    <w:rPr>
      <w:rFonts w:ascii="Segoe UI" w:hAnsi="Segoe UI" w:cs="Segoe UI"/>
      <w:snapToGrid w:val="0"/>
      <w:sz w:val="18"/>
      <w:szCs w:val="18"/>
    </w:rPr>
  </w:style>
  <w:style w:type="character" w:styleId="Refdecomentrio">
    <w:name w:val="annotation reference"/>
    <w:uiPriority w:val="99"/>
    <w:semiHidden/>
    <w:unhideWhenUsed/>
    <w:rsid w:val="00F41BF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F41BF3"/>
    <w:pPr>
      <w:autoSpaceDE w:val="0"/>
      <w:autoSpaceDN w:val="0"/>
      <w:jc w:val="left"/>
    </w:pPr>
    <w:rPr>
      <w:rFonts w:eastAsia="Arial" w:cs="Arial"/>
      <w:snapToGrid/>
      <w:sz w:val="20"/>
      <w:lang w:bidi="pt-BR"/>
    </w:rPr>
  </w:style>
  <w:style w:type="character" w:customStyle="1" w:styleId="TextodecomentrioChar">
    <w:name w:val="Texto de comentário Char"/>
    <w:link w:val="Textodecomentrio"/>
    <w:uiPriority w:val="99"/>
    <w:rsid w:val="00F41BF3"/>
    <w:rPr>
      <w:rFonts w:ascii="Arial" w:eastAsia="Arial" w:hAnsi="Arial" w:cs="Arial"/>
      <w:lang w:bidi="pt-BR"/>
    </w:rPr>
  </w:style>
  <w:style w:type="character" w:customStyle="1" w:styleId="MenoPendente1">
    <w:name w:val="Menção Pendente1"/>
    <w:uiPriority w:val="99"/>
    <w:semiHidden/>
    <w:unhideWhenUsed/>
    <w:rsid w:val="00E25A6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71F60"/>
    <w:pPr>
      <w:widowControl/>
      <w:spacing w:before="100" w:beforeAutospacing="1" w:after="100" w:afterAutospacing="1"/>
      <w:jc w:val="left"/>
    </w:pPr>
    <w:rPr>
      <w:rFonts w:ascii="Times New Roman" w:hAnsi="Times New Roman"/>
      <w:snapToGrid/>
      <w:szCs w:val="24"/>
    </w:rPr>
  </w:style>
  <w:style w:type="character" w:customStyle="1" w:styleId="RodapChar">
    <w:name w:val="Rodapé Char"/>
    <w:basedOn w:val="Fontepargpadro"/>
    <w:link w:val="Rodap"/>
    <w:rsid w:val="001276BD"/>
    <w:rPr>
      <w:rFonts w:ascii="Arial" w:hAnsi="Arial"/>
      <w:snapToGrid w:val="0"/>
      <w:sz w:val="24"/>
    </w:rPr>
  </w:style>
  <w:style w:type="character" w:customStyle="1" w:styleId="CabealhoChar">
    <w:name w:val="Cabeçalho Char"/>
    <w:basedOn w:val="Fontepargpadro"/>
    <w:link w:val="Cabealho"/>
    <w:uiPriority w:val="99"/>
    <w:rsid w:val="001276BD"/>
    <w:rPr>
      <w:rFonts w:ascii="Arial" w:hAnsi="Arial"/>
      <w:snapToGrid w:val="0"/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C17B02"/>
    <w:rPr>
      <w:color w:val="605E5C"/>
      <w:shd w:val="clear" w:color="auto" w:fill="E1DFDD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658F9"/>
    <w:rPr>
      <w:rFonts w:ascii="Arial" w:hAnsi="Arial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6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4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4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F8F3775F7B3354E8943A42FC22B2BFA" ma:contentTypeVersion="4" ma:contentTypeDescription="Crie um novo documento." ma:contentTypeScope="" ma:versionID="532df845c6c49c83b299725723cc85b4">
  <xsd:schema xmlns:xsd="http://www.w3.org/2001/XMLSchema" xmlns:xs="http://www.w3.org/2001/XMLSchema" xmlns:p="http://schemas.microsoft.com/office/2006/metadata/properties" xmlns:ns2="6dfcb3c2-c449-43d8-94f2-911c24986e32" xmlns:ns3="54d77496-6449-4f93-85f0-e73ce1f525a8" targetNamespace="http://schemas.microsoft.com/office/2006/metadata/properties" ma:root="true" ma:fieldsID="51fb8a94bbc9466588c62b1d3347b11d" ns2:_="" ns3:_="">
    <xsd:import namespace="6dfcb3c2-c449-43d8-94f2-911c24986e32"/>
    <xsd:import namespace="54d77496-6449-4f93-85f0-e73ce1f525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cb3c2-c449-43d8-94f2-911c24986e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d77496-6449-4f93-85f0-e73ce1f525a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C96A20-E849-4200-9AAE-6994F775A7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2E6B8F-1DB0-49FC-92DE-A12C0520D1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3A4E8A2-7A6A-45F9-BA04-263464DE9D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cb3c2-c449-43d8-94f2-911c24986e32"/>
    <ds:schemaRef ds:uri="54d77496-6449-4f93-85f0-e73ce1f525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CCE72E-861D-4029-850F-74735E02A5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13</Pages>
  <Words>3721</Words>
  <Characters>20098</Characters>
  <Application>Microsoft Office Word</Application>
  <DocSecurity>0</DocSecurity>
  <Lines>167</Lines>
  <Paragraphs>47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ABNT - UNOPAR - Completo</vt:lpstr>
    </vt:vector>
  </TitlesOfParts>
  <Company/>
  <LinksUpToDate>false</LinksUpToDate>
  <CharactersWithSpaces>23772</CharactersWithSpaces>
  <SharedDoc>false</SharedDoc>
  <HLinks>
    <vt:vector size="66" baseType="variant">
      <vt:variant>
        <vt:i4>1703986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_Toc444524083</vt:lpwstr>
      </vt:variant>
      <vt:variant>
        <vt:i4>1703986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_Toc444524082</vt:lpwstr>
      </vt:variant>
      <vt:variant>
        <vt:i4>1703986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_Toc444524081</vt:lpwstr>
      </vt:variant>
      <vt:variant>
        <vt:i4>1703986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_Toc444524080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_Toc444524079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_Toc444524078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_Toc444524077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_Toc444524076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_Toc444524075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_Toc444524074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_Toc444524073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ABNT - UNOPAR - Completo</dc:title>
  <dc:subject>ABNT - UNOPAR - Completo</dc:subject>
  <dc:creator>Marcia Cristina dos Reis</dc:creator>
  <cp:keywords>Normas da ABNT. Padrões UNOPAR. Trabalhos Acadêmicos.</cp:keywords>
  <dc:description>Versão 2.1</dc:description>
  <cp:lastModifiedBy>Luzinte da Silva Mussi</cp:lastModifiedBy>
  <cp:revision>16</cp:revision>
  <cp:lastPrinted>2016-02-29T22:47:00Z</cp:lastPrinted>
  <dcterms:created xsi:type="dcterms:W3CDTF">2025-07-09T17:51:00Z</dcterms:created>
  <dcterms:modified xsi:type="dcterms:W3CDTF">2026-04-17T16:10:00Z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0x010100DF8F3775F7B3354E8943A42FC22B2BFA</vt:lpwstr>
  </property>
</Properties>
</file>